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header4.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header5.xml" ContentType="application/vnd.openxmlformats-officedocument.wordprocessingml.header+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307" w:rsidRDefault="00FB0307" w:rsidP="00FB0307">
      <w:pPr>
        <w:spacing w:line="360" w:lineRule="auto"/>
        <w:jc w:val="both"/>
        <w:rPr>
          <w:rFonts w:ascii="Arial" w:hAnsi="Arial" w:cs="Arial"/>
          <w:iCs/>
          <w:sz w:val="22"/>
          <w:szCs w:val="22"/>
        </w:rPr>
      </w:pPr>
      <w:r>
        <w:rPr>
          <w:rFonts w:ascii="Arial" w:hAnsi="Arial" w:cs="Arial"/>
          <w:sz w:val="22"/>
          <w:szCs w:val="22"/>
          <w:lang w:val="es-MX"/>
        </w:rPr>
        <w:t>EL C. ADRIÁN EMILIO DE LA GARZA SANTOS, PRESIDENTE MUNICIPAL DE MONTERREY</w:t>
      </w:r>
      <w:r>
        <w:rPr>
          <w:rFonts w:ascii="Arial" w:eastAsia="Batang" w:hAnsi="Arial" w:cs="Arial"/>
          <w:sz w:val="22"/>
          <w:szCs w:val="22"/>
        </w:rPr>
        <w:t xml:space="preserve">, NUEVO LEÓN, A LOS HABITANTES DE ESTE MUNICIPIO HACE SABER QUE EL AYUNTAMIENTO DE MONTERREY, EN SESIÓN ORDINARIA CELEBRADA EL DÍA </w:t>
      </w:r>
      <w:r w:rsidR="002A519E">
        <w:rPr>
          <w:rFonts w:ascii="Arial" w:eastAsia="Batang" w:hAnsi="Arial" w:cs="Arial"/>
          <w:sz w:val="22"/>
          <w:szCs w:val="22"/>
        </w:rPr>
        <w:t>26</w:t>
      </w:r>
      <w:r>
        <w:rPr>
          <w:rFonts w:ascii="Arial" w:eastAsia="Batang" w:hAnsi="Arial" w:cs="Arial"/>
          <w:sz w:val="22"/>
          <w:szCs w:val="22"/>
        </w:rPr>
        <w:t xml:space="preserve"> DE ENERO DE 2016, SE APROB</w:t>
      </w:r>
      <w:r w:rsidR="003376AE">
        <w:rPr>
          <w:rFonts w:ascii="Arial" w:eastAsia="Batang" w:hAnsi="Arial" w:cs="Arial"/>
          <w:sz w:val="22"/>
          <w:szCs w:val="22"/>
        </w:rPr>
        <w:t xml:space="preserve">Ó EL </w:t>
      </w:r>
      <w:r w:rsidR="00026764">
        <w:rPr>
          <w:rFonts w:ascii="Arial" w:hAnsi="Arial" w:cs="Arial"/>
          <w:b/>
          <w:sz w:val="22"/>
          <w:szCs w:val="22"/>
        </w:rPr>
        <w:t xml:space="preserve">PLAN MUNICIPAL DE DESARROLLO </w:t>
      </w:r>
      <w:r w:rsidR="003376AE" w:rsidRPr="003376AE">
        <w:rPr>
          <w:rFonts w:ascii="Arial" w:hAnsi="Arial" w:cs="Arial"/>
          <w:b/>
          <w:sz w:val="22"/>
          <w:szCs w:val="22"/>
        </w:rPr>
        <w:t>2015-2018</w:t>
      </w:r>
      <w:r w:rsidR="00A724D7">
        <w:rPr>
          <w:rFonts w:ascii="Arial" w:hAnsi="Arial" w:cs="Arial"/>
          <w:sz w:val="22"/>
          <w:szCs w:val="22"/>
        </w:rPr>
        <w:t xml:space="preserve">, </w:t>
      </w:r>
      <w:r w:rsidR="003376AE">
        <w:rPr>
          <w:rFonts w:ascii="Arial" w:hAnsi="Arial" w:cs="Arial"/>
          <w:sz w:val="22"/>
          <w:szCs w:val="22"/>
        </w:rPr>
        <w:t>CONTENIDO EN LOS ACUERDOS QUE A CONTINUACIÓN SE TRANSCRIBEN</w:t>
      </w:r>
      <w:r>
        <w:rPr>
          <w:rFonts w:ascii="Arial" w:eastAsia="Batang" w:hAnsi="Arial" w:cs="Arial"/>
          <w:sz w:val="22"/>
          <w:szCs w:val="22"/>
        </w:rPr>
        <w:t xml:space="preserve">: </w:t>
      </w:r>
    </w:p>
    <w:p w:rsidR="00785281" w:rsidRDefault="00785281" w:rsidP="00BA6D82">
      <w:pPr>
        <w:jc w:val="both"/>
        <w:rPr>
          <w:rFonts w:ascii="Arial" w:hAnsi="Arial" w:cs="Arial"/>
          <w:sz w:val="22"/>
          <w:szCs w:val="22"/>
        </w:rPr>
      </w:pPr>
    </w:p>
    <w:p w:rsidR="00BA6D82" w:rsidRPr="007A2960" w:rsidRDefault="00BA6D82" w:rsidP="00BA6D82">
      <w:pPr>
        <w:jc w:val="center"/>
        <w:rPr>
          <w:rFonts w:ascii="Arial" w:hAnsi="Arial" w:cs="Arial"/>
          <w:b/>
          <w:sz w:val="22"/>
          <w:szCs w:val="22"/>
        </w:rPr>
      </w:pPr>
      <w:r>
        <w:rPr>
          <w:rFonts w:ascii="Arial" w:hAnsi="Arial" w:cs="Arial"/>
          <w:b/>
          <w:sz w:val="22"/>
          <w:szCs w:val="22"/>
        </w:rPr>
        <w:t>A C U E R D O S</w:t>
      </w:r>
    </w:p>
    <w:p w:rsidR="00BA6D82" w:rsidRPr="00867CB0" w:rsidRDefault="00BA6D82" w:rsidP="00BA6D82">
      <w:pPr>
        <w:jc w:val="both"/>
        <w:rPr>
          <w:rFonts w:ascii="Arial" w:hAnsi="Arial" w:cs="Arial"/>
          <w:sz w:val="22"/>
          <w:szCs w:val="22"/>
        </w:rPr>
      </w:pPr>
    </w:p>
    <w:p w:rsidR="00BA6D82" w:rsidRDefault="00BA6D82" w:rsidP="00BA6D82">
      <w:pPr>
        <w:jc w:val="both"/>
        <w:rPr>
          <w:rFonts w:ascii="Arial" w:hAnsi="Arial" w:cs="Arial"/>
          <w:sz w:val="22"/>
          <w:szCs w:val="22"/>
        </w:rPr>
      </w:pPr>
      <w:r>
        <w:rPr>
          <w:rFonts w:ascii="Arial" w:hAnsi="Arial" w:cs="Arial"/>
          <w:b/>
          <w:sz w:val="22"/>
          <w:szCs w:val="22"/>
        </w:rPr>
        <w:t>PRIMERO.</w:t>
      </w:r>
      <w:r w:rsidRPr="00867CB0">
        <w:rPr>
          <w:rFonts w:ascii="Arial" w:hAnsi="Arial" w:cs="Arial"/>
          <w:sz w:val="22"/>
          <w:szCs w:val="22"/>
        </w:rPr>
        <w:t xml:space="preserve"> Se aprueba el PLAN MUNICIPAL DE DESARROLLO 2015-2018</w:t>
      </w:r>
      <w:r>
        <w:rPr>
          <w:rFonts w:ascii="Arial" w:hAnsi="Arial" w:cs="Arial"/>
          <w:sz w:val="22"/>
          <w:szCs w:val="22"/>
        </w:rPr>
        <w:t xml:space="preserve"> </w:t>
      </w:r>
      <w:r w:rsidR="00235C2F">
        <w:rPr>
          <w:rFonts w:ascii="Arial" w:hAnsi="Arial" w:cs="Arial"/>
          <w:sz w:val="22"/>
          <w:szCs w:val="22"/>
        </w:rPr>
        <w:t>en los siguientes términos:</w:t>
      </w:r>
    </w:p>
    <w:p w:rsidR="00BA6D82" w:rsidRDefault="00BA6D82" w:rsidP="00BA6D82">
      <w:pPr>
        <w:jc w:val="both"/>
        <w:rPr>
          <w:rFonts w:ascii="Arial" w:hAnsi="Arial" w:cs="Arial"/>
          <w:sz w:val="22"/>
          <w:szCs w:val="22"/>
        </w:rPr>
      </w:pPr>
    </w:p>
    <w:sdt>
      <w:sdtPr>
        <w:rPr>
          <w:rFonts w:ascii="Cambria" w:eastAsia="MS Mincho" w:hAnsi="Cambria"/>
          <w:lang w:val="es-ES_tradnl" w:eastAsia="ja-JP"/>
        </w:rPr>
        <w:id w:val="1859768406"/>
        <w:docPartObj>
          <w:docPartGallery w:val="Cover Pages"/>
          <w:docPartUnique/>
        </w:docPartObj>
      </w:sdtPr>
      <w:sdtEndPr>
        <w:rPr>
          <w:noProof/>
          <w:sz w:val="12"/>
          <w:lang w:val="es-ES"/>
        </w:rPr>
      </w:sdtEndPr>
      <w:sdtContent>
        <w:p w:rsidR="0022687E" w:rsidRPr="0022687E" w:rsidRDefault="0022687E" w:rsidP="003954FE">
          <w:pPr>
            <w:rPr>
              <w:rFonts w:ascii="Cambria" w:eastAsia="MS Mincho" w:hAnsi="Cambria"/>
              <w:noProof/>
              <w:sz w:val="12"/>
              <w:lang w:eastAsia="ja-JP"/>
            </w:rPr>
          </w:pPr>
          <w:r w:rsidRPr="0022687E">
            <w:rPr>
              <w:rFonts w:ascii="Cambria" w:eastAsia="MS Mincho" w:hAnsi="Cambria"/>
              <w:noProof/>
              <w:lang w:val="es-MX" w:eastAsia="es-MX"/>
            </w:rPr>
            <mc:AlternateContent>
              <mc:Choice Requires="wpg">
                <w:drawing>
                  <wp:anchor distT="0" distB="0" distL="114300" distR="114300" simplePos="0" relativeHeight="251678720" behindDoc="1" locked="1" layoutInCell="0" allowOverlap="1" wp14:anchorId="29A5766F" wp14:editId="4BBD4FD3">
                    <wp:simplePos x="0" y="0"/>
                    <wp:positionH relativeFrom="page">
                      <wp:posOffset>276225</wp:posOffset>
                    </wp:positionH>
                    <wp:positionV relativeFrom="page">
                      <wp:posOffset>9544050</wp:posOffset>
                    </wp:positionV>
                    <wp:extent cx="7013448" cy="685800"/>
                    <wp:effectExtent l="0" t="0" r="16510" b="19050"/>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3448" cy="685800"/>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7377D5E" id="Group 9" o:spid="_x0000_s1026" style="position:absolute;margin-left:21.75pt;margin-top:751.5pt;width:552.25pt;height:54pt;z-index:-251637760;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" o:allowincell="f">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w10:anchorlock/>
                  </v:group>
                </w:pict>
              </mc:Fallback>
            </mc:AlternateContent>
          </w:r>
        </w:p>
      </w:sdtContent>
    </w:sdt>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C0504D"/>
          <w:sz w:val="40"/>
          <w:szCs w:val="40"/>
          <w:lang w:eastAsia="ja-JP"/>
        </w:rPr>
      </w:pPr>
      <w:r w:rsidRPr="0022687E">
        <w:rPr>
          <w:rFonts w:ascii="Arial" w:eastAsia="MS Mincho" w:hAnsi="Arial" w:cs="Arial"/>
          <w:b/>
          <w:color w:val="C0504D"/>
          <w:sz w:val="40"/>
          <w:szCs w:val="40"/>
          <w:lang w:eastAsia="ja-JP"/>
        </w:rPr>
        <w:t>Presentación</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limpia, ordenada, moderna, segura y con vialidades dignas de una capital industrial.</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en la que todas las personas puedan ejercer los derechos humanos que le corresponden, con independencia de su género, edad, opiniones, de sus condiciones sociales o de salud, de su discapacidad o de cualquier característica.</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con un gobierno abierto, honesto y transparente, receptivo a las demandas ciudadanas y eficaz en su respuesta.</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de la que las y los regiomontanos nos podamos sentir orgullosos porque representa nuestros valores y nos muestra como lo que somos, gente buena, solidaria, trabajadora y orgullosa de ser regiomontana.</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Para construir una ciudad así, es que este Gobierno Municipal está trabajando desde el primer día y así lo hará hasta que finalice esta administración 2015 – 2018.</w:t>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lang w:val="es-ES_tradnl" w:eastAsia="ja-JP"/>
        </w:rPr>
        <w:t xml:space="preserve">Tenemos metas claras y un rumbo definido, el “qué” y el “cómo”; ambos están plasmados en este Plan Municipal de Desarrollo. </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lastRenderedPageBreak/>
        <w:t>Los ejes que guiarán todas las acciones de este Gobierno serán la Innovación Gubernamental, el Gobierno Abierto, los Derechos Humanos e Inclusión Social, la Seguridad Integral, el Desarrollo Urbano Sustentable y el Desarrollo Económico.</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 xml:space="preserve">Estamos conscientes de que el tiempo es corto, los objetivos ambiciosos y las expectativas son </w:t>
      </w:r>
      <w:proofErr w:type="gramStart"/>
      <w:r w:rsidRPr="009E073E">
        <w:rPr>
          <w:rFonts w:ascii="Arial" w:eastAsia="MS Mincho" w:hAnsi="Arial" w:cs="Arial"/>
          <w:sz w:val="22"/>
          <w:szCs w:val="22"/>
          <w:lang w:val="es-ES_tradnl" w:eastAsia="ja-JP"/>
        </w:rPr>
        <w:t>altas</w:t>
      </w:r>
      <w:proofErr w:type="gramEnd"/>
      <w:r w:rsidRPr="009E073E">
        <w:rPr>
          <w:rFonts w:ascii="Arial" w:eastAsia="MS Mincho" w:hAnsi="Arial" w:cs="Arial"/>
          <w:sz w:val="22"/>
          <w:szCs w:val="22"/>
          <w:lang w:val="es-ES_tradnl" w:eastAsia="ja-JP"/>
        </w:rPr>
        <w:t xml:space="preserve">, por ello no hay lugar para la improvisación. En este sentido, el Plan Municipal de Desarrollo que estamos presentando detalla los proyectos estratégicos que se llevarán a cabo, así como los indicadores conforme a los cuales, de cara a la ciudadanía, rendiremos cuentas de nuestro desempeño. En síntesis, es la garantía de nuestro compromiso con la gente de Monterrey. </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 xml:space="preserve">El Ayuntamiento se asegurará de darle a este Plan la difusión necesaria entre toda la ciudadanía. Es importante la ciudadanía lo conozca, que sepa los compromisos de esta administración municipal, y que exija de ésta el cumplimiento y rendición de cuentas. Lo digo con toda franqueza, la participación ciudadana será el corazón de esta administración. </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No me cabe duda que al finalizar esta administración la ciudad de Monterrey será otra y le aseguro a toda la ciudadanía que este Plan Municipal de Desarrollo se traducirá en una mejora en la vida de las y los regiomontanos.</w:t>
      </w:r>
    </w:p>
    <w:p w:rsidR="0022687E" w:rsidRDefault="0022687E" w:rsidP="0022687E">
      <w:pPr>
        <w:jc w:val="center"/>
        <w:rPr>
          <w:rFonts w:ascii="Arial" w:eastAsia="MS Mincho" w:hAnsi="Arial" w:cs="Arial"/>
          <w:b/>
          <w:sz w:val="22"/>
          <w:szCs w:val="22"/>
          <w:lang w:val="es-ES_tradnl" w:eastAsia="ja-JP"/>
        </w:rPr>
      </w:pPr>
    </w:p>
    <w:p w:rsidR="009E073E" w:rsidRPr="009E073E" w:rsidRDefault="009E073E" w:rsidP="0022687E">
      <w:pPr>
        <w:jc w:val="center"/>
        <w:rPr>
          <w:rFonts w:ascii="Arial" w:eastAsia="MS Mincho" w:hAnsi="Arial" w:cs="Arial"/>
          <w:b/>
          <w:sz w:val="22"/>
          <w:szCs w:val="22"/>
          <w:lang w:val="es-ES_tradnl" w:eastAsia="ja-JP"/>
        </w:rPr>
      </w:pPr>
    </w:p>
    <w:p w:rsidR="0022687E" w:rsidRPr="009E073E" w:rsidRDefault="0022687E" w:rsidP="0022687E">
      <w:pPr>
        <w:jc w:val="center"/>
        <w:rPr>
          <w:rFonts w:ascii="Arial" w:eastAsia="MS Mincho" w:hAnsi="Arial" w:cs="Arial"/>
          <w:b/>
          <w:sz w:val="22"/>
          <w:szCs w:val="22"/>
          <w:lang w:val="es-ES_tradnl" w:eastAsia="ja-JP"/>
        </w:rPr>
      </w:pPr>
    </w:p>
    <w:p w:rsidR="0022687E" w:rsidRPr="009E073E" w:rsidRDefault="0022687E" w:rsidP="0022687E">
      <w:pPr>
        <w:jc w:val="center"/>
        <w:rPr>
          <w:rFonts w:ascii="Arial" w:eastAsia="MS Mincho" w:hAnsi="Arial" w:cs="Arial"/>
          <w:b/>
          <w:sz w:val="22"/>
          <w:szCs w:val="22"/>
          <w:lang w:val="es-ES_tradnl" w:eastAsia="ja-JP"/>
        </w:rPr>
      </w:pPr>
      <w:r w:rsidRPr="009E073E">
        <w:rPr>
          <w:rFonts w:ascii="Arial" w:eastAsia="MS Mincho" w:hAnsi="Arial" w:cs="Arial"/>
          <w:b/>
          <w:sz w:val="22"/>
          <w:szCs w:val="22"/>
          <w:lang w:val="es-ES_tradnl" w:eastAsia="ja-JP"/>
        </w:rPr>
        <w:t>ADRIÁN EMILIO DE LA GARZA SANTOS</w:t>
      </w:r>
    </w:p>
    <w:p w:rsidR="0022687E" w:rsidRPr="009E073E" w:rsidRDefault="0022687E" w:rsidP="0022687E">
      <w:pPr>
        <w:jc w:val="center"/>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PRESIDENTE MUNICIPAL DE MONTERREY</w:t>
      </w:r>
    </w:p>
    <w:p w:rsidR="0022687E" w:rsidRPr="009E073E" w:rsidRDefault="0022687E" w:rsidP="0022687E">
      <w:pPr>
        <w:spacing w:after="200"/>
        <w:jc w:val="center"/>
        <w:rPr>
          <w:rFonts w:ascii="Arial" w:eastAsia="MS Mincho" w:hAnsi="Arial" w:cs="Arial"/>
          <w:color w:val="C0504D"/>
          <w:sz w:val="22"/>
          <w:szCs w:val="22"/>
          <w:lang w:eastAsia="ja-JP"/>
        </w:rPr>
      </w:pPr>
      <w:r w:rsidRPr="009E073E">
        <w:rPr>
          <w:rFonts w:ascii="Arial" w:eastAsia="MS Mincho" w:hAnsi="Arial" w:cs="Arial"/>
          <w:color w:val="C0504D"/>
          <w:sz w:val="22"/>
          <w:szCs w:val="22"/>
          <w:lang w:eastAsia="ja-JP"/>
        </w:rPr>
        <w:br w:type="page"/>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C0504D"/>
          <w:sz w:val="36"/>
          <w:szCs w:val="36"/>
          <w:lang w:eastAsia="ja-JP"/>
        </w:rPr>
      </w:pPr>
      <w:r w:rsidRPr="0022687E">
        <w:rPr>
          <w:rFonts w:ascii="Arial" w:eastAsia="MS Mincho" w:hAnsi="Arial" w:cs="Arial"/>
          <w:b/>
          <w:color w:val="C0504D"/>
          <w:sz w:val="36"/>
          <w:szCs w:val="36"/>
          <w:lang w:eastAsia="ja-JP"/>
        </w:rPr>
        <w:lastRenderedPageBreak/>
        <w:t>Republicano Ayuntamiento de Monterrey</w:t>
      </w:r>
    </w:p>
    <w:tbl>
      <w:tblPr>
        <w:tblW w:w="9923" w:type="dxa"/>
        <w:tblCellMar>
          <w:left w:w="70" w:type="dxa"/>
          <w:right w:w="70" w:type="dxa"/>
        </w:tblCellMar>
        <w:tblLook w:val="04A0" w:firstRow="1" w:lastRow="0" w:firstColumn="1" w:lastColumn="0" w:noHBand="0" w:noVBand="1"/>
      </w:tblPr>
      <w:tblGrid>
        <w:gridCol w:w="230"/>
        <w:gridCol w:w="4731"/>
        <w:gridCol w:w="230"/>
        <w:gridCol w:w="4732"/>
      </w:tblGrid>
      <w:tr w:rsidR="0022687E" w:rsidRPr="009E073E" w:rsidTr="009E073E">
        <w:trPr>
          <w:trHeight w:val="378"/>
        </w:trPr>
        <w:tc>
          <w:tcPr>
            <w:tcW w:w="9923" w:type="dxa"/>
            <w:gridSpan w:val="4"/>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Lic. Adrián Emilio de la Garza Santos</w:t>
            </w:r>
          </w:p>
        </w:tc>
      </w:tr>
      <w:tr w:rsidR="0022687E" w:rsidRPr="009E073E" w:rsidTr="009E073E">
        <w:trPr>
          <w:trHeight w:val="345"/>
        </w:trPr>
        <w:tc>
          <w:tcPr>
            <w:tcW w:w="9923" w:type="dxa"/>
            <w:gridSpan w:val="4"/>
            <w:tcBorders>
              <w:top w:val="nil"/>
              <w:left w:val="nil"/>
              <w:bottom w:val="nil"/>
              <w:right w:val="nil"/>
            </w:tcBorders>
            <w:shd w:val="clear" w:color="auto" w:fill="auto"/>
            <w:vAlign w:val="center"/>
            <w:hideMark/>
          </w:tcPr>
          <w:p w:rsidR="0022687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Presidente Municipal   </w:t>
            </w:r>
          </w:p>
          <w:p w:rsidR="00AB79F7" w:rsidRPr="009E073E" w:rsidRDefault="00AB79F7" w:rsidP="0022687E">
            <w:pPr>
              <w:rPr>
                <w:rFonts w:ascii="Arial" w:hAnsi="Arial" w:cs="Arial"/>
                <w:color w:val="222222"/>
                <w:sz w:val="22"/>
                <w:szCs w:val="22"/>
                <w:lang w:val="es-ES_tradnl" w:eastAsia="es-MX"/>
              </w:rPr>
            </w:pPr>
          </w:p>
        </w:tc>
      </w:tr>
      <w:tr w:rsidR="0022687E" w:rsidRPr="009E073E" w:rsidTr="0022687E">
        <w:trPr>
          <w:trHeight w:val="378"/>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Rosa Ofelia Coronado Flores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4B5044" w:rsidP="0022687E">
            <w:pPr>
              <w:rPr>
                <w:rFonts w:ascii="Arial" w:hAnsi="Arial" w:cs="Arial"/>
                <w:b/>
                <w:color w:val="222222"/>
                <w:sz w:val="22"/>
                <w:szCs w:val="22"/>
                <w:lang w:val="es-ES_tradnl" w:eastAsia="es-MX"/>
              </w:rPr>
            </w:pPr>
            <w:proofErr w:type="spellStart"/>
            <w:r w:rsidRPr="009E073E">
              <w:rPr>
                <w:rFonts w:ascii="Arial" w:hAnsi="Arial" w:cs="Arial"/>
                <w:b/>
                <w:color w:val="222222"/>
                <w:sz w:val="22"/>
                <w:szCs w:val="22"/>
                <w:lang w:val="es-ES_tradnl" w:eastAsia="es-MX"/>
              </w:rPr>
              <w:t>Ana</w:t>
            </w:r>
            <w:r w:rsidR="0022687E" w:rsidRPr="009E073E">
              <w:rPr>
                <w:rFonts w:ascii="Arial" w:hAnsi="Arial" w:cs="Arial"/>
                <w:b/>
                <w:color w:val="222222"/>
                <w:sz w:val="22"/>
                <w:szCs w:val="22"/>
                <w:lang w:val="es-ES_tradnl" w:eastAsia="es-MX"/>
              </w:rPr>
              <w:t>Karen</w:t>
            </w:r>
            <w:proofErr w:type="spellEnd"/>
            <w:r w:rsidR="0022687E" w:rsidRPr="009E073E">
              <w:rPr>
                <w:rFonts w:ascii="Arial" w:hAnsi="Arial" w:cs="Arial"/>
                <w:b/>
                <w:color w:val="222222"/>
                <w:sz w:val="22"/>
                <w:szCs w:val="22"/>
                <w:lang w:val="es-ES_tradnl" w:eastAsia="es-MX"/>
              </w:rPr>
              <w:t xml:space="preserve"> García Sifuentes</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Primera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Romina de la Garza Terrazas </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proofErr w:type="spellStart"/>
            <w:r w:rsidRPr="009E073E">
              <w:rPr>
                <w:rFonts w:ascii="Arial" w:hAnsi="Arial" w:cs="Arial"/>
                <w:b/>
                <w:color w:val="222222"/>
                <w:sz w:val="22"/>
                <w:szCs w:val="22"/>
                <w:lang w:val="es-ES_tradnl" w:eastAsia="es-MX"/>
              </w:rPr>
              <w:t>Miroslava</w:t>
            </w:r>
            <w:proofErr w:type="spellEnd"/>
            <w:r w:rsidRPr="009E073E">
              <w:rPr>
                <w:rFonts w:ascii="Arial" w:hAnsi="Arial" w:cs="Arial"/>
                <w:b/>
                <w:color w:val="222222"/>
                <w:sz w:val="22"/>
                <w:szCs w:val="22"/>
                <w:lang w:val="es-ES_tradnl" w:eastAsia="es-MX"/>
              </w:rPr>
              <w:t xml:space="preserve"> Salinas Garza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Segunda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Décima primera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Álvaro Flores Palomo</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Ernestina Cañamar Cantú </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Tercer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Décima segunda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F01630" w:rsidP="0022687E">
            <w:pPr>
              <w:rPr>
                <w:rFonts w:ascii="Arial" w:hAnsi="Arial" w:cs="Arial"/>
                <w:b/>
                <w:color w:val="222222"/>
                <w:sz w:val="22"/>
                <w:szCs w:val="22"/>
                <w:lang w:val="es-ES_tradnl" w:eastAsia="es-MX"/>
              </w:rPr>
            </w:pPr>
            <w:r>
              <w:rPr>
                <w:rFonts w:ascii="Arial" w:hAnsi="Arial" w:cs="Arial"/>
                <w:b/>
                <w:color w:val="222222"/>
                <w:sz w:val="22"/>
                <w:szCs w:val="22"/>
                <w:lang w:val="es-ES_tradnl" w:eastAsia="es-MX"/>
              </w:rPr>
              <w:t>Ó</w:t>
            </w:r>
            <w:r w:rsidR="00F61FBC" w:rsidRPr="009E073E">
              <w:rPr>
                <w:rFonts w:ascii="Arial" w:hAnsi="Arial" w:cs="Arial"/>
                <w:b/>
                <w:color w:val="222222"/>
                <w:sz w:val="22"/>
                <w:szCs w:val="22"/>
                <w:lang w:val="es-ES_tradnl" w:eastAsia="es-MX"/>
              </w:rPr>
              <w:t>s</w:t>
            </w:r>
            <w:r w:rsidR="0022687E" w:rsidRPr="009E073E">
              <w:rPr>
                <w:rFonts w:ascii="Arial" w:hAnsi="Arial" w:cs="Arial"/>
                <w:b/>
                <w:color w:val="222222"/>
                <w:sz w:val="22"/>
                <w:szCs w:val="22"/>
                <w:lang w:val="es-ES_tradnl" w:eastAsia="es-MX"/>
              </w:rPr>
              <w:t>car Cantú Cavazos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José Benito Reyes</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Cuarto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tercero Regidor</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F711E6" w:rsidRPr="009E073E" w:rsidRDefault="00F711E6"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9E073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Edgar Salvatierra </w:t>
            </w:r>
            <w:proofErr w:type="spellStart"/>
            <w:r w:rsidR="009E073E">
              <w:rPr>
                <w:rFonts w:ascii="Arial" w:hAnsi="Arial" w:cs="Arial"/>
                <w:b/>
                <w:color w:val="222222"/>
                <w:sz w:val="22"/>
                <w:szCs w:val="22"/>
                <w:lang w:val="es-ES_tradnl" w:eastAsia="es-MX"/>
              </w:rPr>
              <w:t>Bachur</w:t>
            </w:r>
            <w:proofErr w:type="spellEnd"/>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Jesús Mendoza de León</w:t>
            </w:r>
          </w:p>
        </w:tc>
      </w:tr>
      <w:tr w:rsidR="0022687E" w:rsidRPr="009E073E" w:rsidTr="0022687E">
        <w:trPr>
          <w:trHeight w:val="477"/>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Quinto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cuarto Regidor</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Gerardo Hugo Sandoval Garza </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Marcia</w:t>
            </w:r>
            <w:r w:rsidR="004B5044" w:rsidRPr="009E073E">
              <w:rPr>
                <w:rFonts w:ascii="Arial" w:hAnsi="Arial" w:cs="Arial"/>
                <w:b/>
                <w:color w:val="222222"/>
                <w:sz w:val="22"/>
                <w:szCs w:val="22"/>
                <w:lang w:val="es-ES_tradnl" w:eastAsia="es-MX"/>
              </w:rPr>
              <w:t>l</w:t>
            </w:r>
            <w:r w:rsidRPr="009E073E">
              <w:rPr>
                <w:rFonts w:ascii="Arial" w:hAnsi="Arial" w:cs="Arial"/>
                <w:b/>
                <w:color w:val="222222"/>
                <w:sz w:val="22"/>
                <w:szCs w:val="22"/>
                <w:lang w:val="es-ES_tradnl" w:eastAsia="es-MX"/>
              </w:rPr>
              <w:t xml:space="preserve"> Marín Balderas</w:t>
            </w:r>
          </w:p>
        </w:tc>
      </w:tr>
      <w:tr w:rsidR="0022687E" w:rsidRPr="009E073E" w:rsidTr="0022687E">
        <w:trPr>
          <w:trHeight w:val="451"/>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Sexto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quinto Regidor</w:t>
            </w:r>
          </w:p>
        </w:tc>
      </w:tr>
      <w:tr w:rsidR="0022687E" w:rsidRPr="009E073E" w:rsidTr="0022687E">
        <w:trPr>
          <w:gridAfter w:val="2"/>
          <w:wAfter w:w="4962" w:type="dxa"/>
          <w:trHeight w:val="345"/>
        </w:trPr>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Humberto Arturo Garza de Hoyos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Ana Lilia Coronado Araiza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Séptimo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sexta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Luis Carlos Longares Vidal</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proofErr w:type="spellStart"/>
            <w:r w:rsidRPr="009E073E">
              <w:rPr>
                <w:rFonts w:ascii="Arial" w:hAnsi="Arial" w:cs="Arial"/>
                <w:b/>
                <w:color w:val="222222"/>
                <w:sz w:val="22"/>
                <w:szCs w:val="22"/>
                <w:lang w:val="es-ES_tradnl" w:eastAsia="es-MX"/>
              </w:rPr>
              <w:t>Mayela</w:t>
            </w:r>
            <w:proofErr w:type="spellEnd"/>
            <w:r w:rsidRPr="009E073E">
              <w:rPr>
                <w:rFonts w:ascii="Arial" w:hAnsi="Arial" w:cs="Arial"/>
                <w:b/>
                <w:color w:val="222222"/>
                <w:sz w:val="22"/>
                <w:szCs w:val="22"/>
                <w:lang w:val="es-ES_tradnl" w:eastAsia="es-MX"/>
              </w:rPr>
              <w:t xml:space="preserve"> Concepción de la Garza Santos</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Octavo Regidor</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séptima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Brenda Marcela Castillo Guillén</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María de la Luz Estrada García</w:t>
            </w:r>
          </w:p>
        </w:tc>
      </w:tr>
      <w:tr w:rsidR="0022687E" w:rsidRPr="009E073E" w:rsidTr="0022687E">
        <w:trPr>
          <w:trHeight w:val="228"/>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Novena Regidora</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octava Regidora</w:t>
            </w:r>
          </w:p>
        </w:tc>
      </w:tr>
      <w:tr w:rsidR="0022687E" w:rsidRPr="009E073E" w:rsidTr="003954FE">
        <w:trPr>
          <w:gridAfter w:val="2"/>
          <w:wAfter w:w="4962" w:type="dxa"/>
          <w:trHeight w:val="345"/>
        </w:trPr>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9E073E">
        <w:trPr>
          <w:trHeight w:val="378"/>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eastAsia="MS Mincho" w:hAnsi="Arial" w:cs="Arial"/>
                <w:b/>
                <w:bCs/>
                <w:color w:val="C0504D"/>
                <w:sz w:val="22"/>
                <w:szCs w:val="22"/>
                <w:lang w:val="es-MX" w:eastAsia="ja-JP"/>
              </w:rPr>
              <w:br w:type="page"/>
            </w:r>
            <w:r w:rsidRPr="009E073E">
              <w:rPr>
                <w:rFonts w:ascii="Arial" w:hAnsi="Arial" w:cs="Arial"/>
                <w:b/>
                <w:color w:val="222222"/>
                <w:sz w:val="22"/>
                <w:szCs w:val="22"/>
                <w:lang w:val="es-ES_tradnl" w:eastAsia="es-MX"/>
              </w:rPr>
              <w:t>David Ariel García Portillo</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Horacio </w:t>
            </w:r>
            <w:proofErr w:type="spellStart"/>
            <w:r w:rsidRPr="009E073E">
              <w:rPr>
                <w:rFonts w:ascii="Arial" w:hAnsi="Arial" w:cs="Arial"/>
                <w:b/>
                <w:color w:val="222222"/>
                <w:sz w:val="22"/>
                <w:szCs w:val="22"/>
                <w:lang w:val="es-ES_tradnl" w:eastAsia="es-MX"/>
              </w:rPr>
              <w:t>Jonatan</w:t>
            </w:r>
            <w:proofErr w:type="spellEnd"/>
            <w:r w:rsidRPr="009E073E">
              <w:rPr>
                <w:rFonts w:ascii="Arial" w:hAnsi="Arial" w:cs="Arial"/>
                <w:b/>
                <w:color w:val="222222"/>
                <w:sz w:val="22"/>
                <w:szCs w:val="22"/>
                <w:lang w:val="es-ES_tradnl" w:eastAsia="es-MX"/>
              </w:rPr>
              <w:t xml:space="preserve"> Tijerina Hernández</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noveno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quinto Regidor</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Yolanda González  Sánchez</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9C3606" w:rsidP="0022687E">
            <w:pPr>
              <w:rPr>
                <w:rFonts w:ascii="Arial" w:hAnsi="Arial" w:cs="Arial"/>
                <w:b/>
                <w:color w:val="222222"/>
                <w:sz w:val="22"/>
                <w:szCs w:val="22"/>
                <w:lang w:val="es-ES_tradnl" w:eastAsia="es-MX"/>
              </w:rPr>
            </w:pPr>
            <w:r>
              <w:rPr>
                <w:rFonts w:ascii="Arial" w:hAnsi="Arial" w:cs="Arial"/>
                <w:b/>
                <w:color w:val="222222"/>
                <w:sz w:val="22"/>
                <w:szCs w:val="22"/>
                <w:lang w:val="es-ES_tradnl" w:eastAsia="es-MX"/>
              </w:rPr>
              <w:t xml:space="preserve">Elvia Yolanda González </w:t>
            </w:r>
            <w:proofErr w:type="spellStart"/>
            <w:r>
              <w:rPr>
                <w:rFonts w:ascii="Arial" w:hAnsi="Arial" w:cs="Arial"/>
                <w:b/>
                <w:color w:val="222222"/>
                <w:sz w:val="22"/>
                <w:szCs w:val="22"/>
                <w:lang w:val="es-ES_tradnl" w:eastAsia="es-MX"/>
              </w:rPr>
              <w:t>Verá</w:t>
            </w:r>
            <w:r w:rsidR="0022687E" w:rsidRPr="009E073E">
              <w:rPr>
                <w:rFonts w:ascii="Arial" w:hAnsi="Arial" w:cs="Arial"/>
                <w:b/>
                <w:color w:val="222222"/>
                <w:sz w:val="22"/>
                <w:szCs w:val="22"/>
                <w:lang w:val="es-ES_tradnl" w:eastAsia="es-MX"/>
              </w:rPr>
              <w:t>stegui</w:t>
            </w:r>
            <w:proofErr w:type="spellEnd"/>
            <w:r w:rsidR="0022687E" w:rsidRPr="009E073E">
              <w:rPr>
                <w:rFonts w:ascii="Arial" w:hAnsi="Arial" w:cs="Arial"/>
                <w:b/>
                <w:color w:val="222222"/>
                <w:sz w:val="22"/>
                <w:szCs w:val="22"/>
                <w:lang w:val="es-ES_tradnl" w:eastAsia="es-MX"/>
              </w:rPr>
              <w:t xml:space="preserve"> </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sexta Regidora</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Enrique Guadalupe Pérez Villa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Armando Garza Tamez </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primero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séptimo Regidor</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4B5044"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Ar</w:t>
            </w:r>
            <w:r w:rsidR="0022687E" w:rsidRPr="009E073E">
              <w:rPr>
                <w:rFonts w:ascii="Arial" w:hAnsi="Arial" w:cs="Arial"/>
                <w:b/>
                <w:color w:val="222222"/>
                <w:sz w:val="22"/>
                <w:szCs w:val="22"/>
                <w:lang w:val="es-ES_tradnl" w:eastAsia="es-MX"/>
              </w:rPr>
              <w:t>celia Esther Solís Flores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Roque Yáñez Ramos</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segunda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Primer Síndico</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Daniel Gamboa Villarreal</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Elisa Estrada Treviño</w:t>
            </w:r>
          </w:p>
        </w:tc>
      </w:tr>
      <w:tr w:rsidR="0022687E" w:rsidRPr="009E073E" w:rsidTr="009E073E">
        <w:trPr>
          <w:trHeight w:val="459"/>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tercero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Segunda Síndica</w:t>
            </w:r>
          </w:p>
        </w:tc>
      </w:tr>
      <w:tr w:rsidR="0022687E" w:rsidRPr="009E073E" w:rsidTr="009E073E">
        <w:trPr>
          <w:trHeight w:val="173"/>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gridAfter w:val="1"/>
          <w:wAfter w:w="4732" w:type="dxa"/>
          <w:trHeight w:val="345"/>
        </w:trPr>
        <w:tc>
          <w:tcPr>
            <w:tcW w:w="4961" w:type="dxa"/>
            <w:gridSpan w:val="2"/>
            <w:tcBorders>
              <w:top w:val="nil"/>
              <w:left w:val="nil"/>
              <w:bottom w:val="nil"/>
              <w:right w:val="nil"/>
            </w:tcBorders>
            <w:shd w:val="clear" w:color="auto" w:fill="auto"/>
            <w:vAlign w:val="center"/>
            <w:hideMark/>
          </w:tcPr>
          <w:p w:rsidR="0022687E" w:rsidRPr="009E073E" w:rsidRDefault="004B5044" w:rsidP="004B16DD">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w:t>
            </w:r>
            <w:r w:rsidR="004B16DD" w:rsidRPr="009E073E">
              <w:rPr>
                <w:rFonts w:ascii="Arial" w:hAnsi="Arial" w:cs="Arial"/>
                <w:b/>
                <w:color w:val="222222"/>
                <w:sz w:val="22"/>
                <w:szCs w:val="22"/>
                <w:lang w:val="es-ES_tradnl" w:eastAsia="es-MX"/>
              </w:rPr>
              <w:t>ría</w:t>
            </w:r>
            <w:r w:rsidRPr="009E073E">
              <w:rPr>
                <w:rFonts w:ascii="Arial" w:hAnsi="Arial" w:cs="Arial"/>
                <w:b/>
                <w:color w:val="222222"/>
                <w:sz w:val="22"/>
                <w:szCs w:val="22"/>
                <w:lang w:val="es-ES_tradnl" w:eastAsia="es-MX"/>
              </w:rPr>
              <w:t xml:space="preserve"> </w:t>
            </w:r>
            <w:proofErr w:type="spellStart"/>
            <w:r w:rsidRPr="009E073E">
              <w:rPr>
                <w:rFonts w:ascii="Arial" w:hAnsi="Arial" w:cs="Arial"/>
                <w:b/>
                <w:color w:val="222222"/>
                <w:sz w:val="22"/>
                <w:szCs w:val="22"/>
                <w:lang w:val="es-ES_tradnl" w:eastAsia="es-MX"/>
              </w:rPr>
              <w:t>May</w:t>
            </w:r>
            <w:r w:rsidR="0022687E" w:rsidRPr="009E073E">
              <w:rPr>
                <w:rFonts w:ascii="Arial" w:hAnsi="Arial" w:cs="Arial"/>
                <w:b/>
                <w:color w:val="222222"/>
                <w:sz w:val="22"/>
                <w:szCs w:val="22"/>
                <w:lang w:val="es-ES_tradnl" w:eastAsia="es-MX"/>
              </w:rPr>
              <w:t>da</w:t>
            </w:r>
            <w:proofErr w:type="spellEnd"/>
            <w:r w:rsidR="0022687E" w:rsidRPr="009E073E">
              <w:rPr>
                <w:rFonts w:ascii="Arial" w:hAnsi="Arial" w:cs="Arial"/>
                <w:b/>
                <w:color w:val="222222"/>
                <w:sz w:val="22"/>
                <w:szCs w:val="22"/>
                <w:lang w:val="es-ES_tradnl" w:eastAsia="es-MX"/>
              </w:rPr>
              <w:t xml:space="preserve"> Paredes Díaz </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r>
      <w:tr w:rsidR="0022687E" w:rsidRPr="009E073E" w:rsidTr="009E073E">
        <w:trPr>
          <w:gridAfter w:val="1"/>
          <w:wAfter w:w="4732" w:type="dxa"/>
          <w:trHeight w:val="474"/>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cuarta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r>
    </w:tbl>
    <w:p w:rsidR="0022687E" w:rsidRPr="0022687E" w:rsidRDefault="0022687E" w:rsidP="0022687E">
      <w:pPr>
        <w:spacing w:after="200"/>
        <w:rPr>
          <w:rFonts w:ascii="Arial" w:eastAsia="MS Mincho" w:hAnsi="Arial" w:cs="Arial"/>
          <w:b/>
          <w:bCs/>
          <w:color w:val="C0504D"/>
          <w:sz w:val="36"/>
          <w:szCs w:val="36"/>
          <w:lang w:val="es-MX" w:eastAsia="ja-JP"/>
        </w:rPr>
      </w:pPr>
      <w:r w:rsidRPr="0022687E">
        <w:rPr>
          <w:rFonts w:ascii="Arial" w:eastAsia="MS Mincho" w:hAnsi="Arial" w:cs="Arial"/>
          <w:b/>
          <w:bCs/>
          <w:color w:val="C0504D"/>
          <w:sz w:val="36"/>
          <w:szCs w:val="36"/>
          <w:lang w:val="es-MX" w:eastAsia="ja-JP"/>
        </w:rPr>
        <w:br w:type="page"/>
      </w:r>
    </w:p>
    <w:p w:rsidR="0022687E" w:rsidRPr="0022687E" w:rsidRDefault="0022687E" w:rsidP="0022687E">
      <w:pPr>
        <w:spacing w:after="200"/>
        <w:rPr>
          <w:rFonts w:ascii="Arial" w:eastAsia="MS Mincho" w:hAnsi="Arial" w:cs="Arial"/>
          <w:b/>
          <w:bCs/>
          <w:color w:val="C0504D"/>
          <w:sz w:val="36"/>
          <w:szCs w:val="36"/>
          <w:lang w:val="es-MX" w:eastAsia="ja-JP"/>
        </w:rPr>
      </w:pPr>
      <w:r w:rsidRPr="0022687E">
        <w:rPr>
          <w:rFonts w:ascii="Arial" w:eastAsia="MS Mincho" w:hAnsi="Arial" w:cs="Arial"/>
          <w:b/>
          <w:bCs/>
          <w:color w:val="C0504D"/>
          <w:sz w:val="36"/>
          <w:szCs w:val="36"/>
          <w:lang w:val="es-MX" w:eastAsia="ja-JP"/>
        </w:rPr>
        <w:lastRenderedPageBreak/>
        <w:t>Dependencias y organismos</w:t>
      </w:r>
    </w:p>
    <w:tbl>
      <w:tblPr>
        <w:tblW w:w="9923" w:type="dxa"/>
        <w:tblCellMar>
          <w:left w:w="70" w:type="dxa"/>
          <w:right w:w="70" w:type="dxa"/>
        </w:tblCellMar>
        <w:tblLook w:val="04A0" w:firstRow="1" w:lastRow="0" w:firstColumn="1" w:lastColumn="0" w:noHBand="0" w:noVBand="1"/>
      </w:tblPr>
      <w:tblGrid>
        <w:gridCol w:w="4962"/>
        <w:gridCol w:w="230"/>
        <w:gridCol w:w="4731"/>
      </w:tblGrid>
      <w:tr w:rsidR="0022687E" w:rsidRPr="000F752F" w:rsidTr="0022687E">
        <w:trPr>
          <w:trHeight w:val="378"/>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Genaro García de la Garza</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Dr. Antonio Fernando Martínez Beltrán</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del Ayuntamiento  </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Tesorero Municipal</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Ing. Gabriel Eugenio </w:t>
            </w:r>
            <w:proofErr w:type="spellStart"/>
            <w:r w:rsidRPr="000F752F">
              <w:rPr>
                <w:rFonts w:ascii="Arial" w:hAnsi="Arial" w:cs="Arial"/>
                <w:b/>
                <w:color w:val="222222"/>
                <w:sz w:val="22"/>
                <w:szCs w:val="22"/>
                <w:lang w:val="es-ES_tradnl" w:eastAsia="es-MX"/>
              </w:rPr>
              <w:t>Todd</w:t>
            </w:r>
            <w:proofErr w:type="spellEnd"/>
            <w:r w:rsidRPr="000F752F">
              <w:rPr>
                <w:rFonts w:ascii="Arial" w:hAnsi="Arial" w:cs="Arial"/>
                <w:b/>
                <w:color w:val="222222"/>
                <w:sz w:val="22"/>
                <w:szCs w:val="22"/>
                <w:lang w:val="es-ES_tradnl" w:eastAsia="es-MX"/>
              </w:rPr>
              <w:t xml:space="preserve"> Alanís</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Arq. Javier Sánchez </w:t>
            </w:r>
            <w:proofErr w:type="spellStart"/>
            <w:r w:rsidRPr="000F752F">
              <w:rPr>
                <w:rFonts w:ascii="Arial" w:hAnsi="Arial" w:cs="Arial"/>
                <w:b/>
                <w:color w:val="222222"/>
                <w:sz w:val="22"/>
                <w:szCs w:val="22"/>
                <w:lang w:val="es-ES_tradnl" w:eastAsia="es-MX"/>
              </w:rPr>
              <w:t>Sánchez</w:t>
            </w:r>
            <w:proofErr w:type="spellEnd"/>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Desarrollo Urbano y Ecología</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Obras Públicas</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Roberto Garza Leonard </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Lic. Yamileth Lozano Garza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Desarrollo Humano y Social</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Secretaria de Administración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Luis Enrique Orozco Suárez</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Marcelo Segovia Páez</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Contralor Municipal</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Servicios Públicos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C.P. Mónica Lucía </w:t>
            </w:r>
            <w:proofErr w:type="spellStart"/>
            <w:r w:rsidRPr="000F752F">
              <w:rPr>
                <w:rFonts w:ascii="Arial" w:hAnsi="Arial" w:cs="Arial"/>
                <w:b/>
                <w:color w:val="222222"/>
                <w:sz w:val="22"/>
                <w:szCs w:val="22"/>
                <w:lang w:val="es-ES_tradnl" w:eastAsia="es-MX"/>
              </w:rPr>
              <w:t>Zozaya</w:t>
            </w:r>
            <w:proofErr w:type="spellEnd"/>
            <w:r w:rsidRPr="000F752F">
              <w:rPr>
                <w:rFonts w:ascii="Arial" w:hAnsi="Arial" w:cs="Arial"/>
                <w:b/>
                <w:color w:val="222222"/>
                <w:sz w:val="22"/>
                <w:szCs w:val="22"/>
                <w:lang w:val="es-ES_tradnl" w:eastAsia="es-MX"/>
              </w:rPr>
              <w:t xml:space="preserve"> Hernández</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Esteban Alejandro Cantú Montes  </w:t>
            </w:r>
          </w:p>
        </w:tc>
      </w:tr>
      <w:tr w:rsidR="0022687E" w:rsidRPr="000F752F" w:rsidTr="0022687E">
        <w:trPr>
          <w:trHeight w:val="690"/>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Desarrollo Económico</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Comisario de la Secretaría de Seguridad Pública y Vialidad de Monterrey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Lic. Aída María Flores Moya </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Lic. María del Rocío </w:t>
            </w:r>
            <w:proofErr w:type="spellStart"/>
            <w:r w:rsidRPr="000F752F">
              <w:rPr>
                <w:rFonts w:ascii="Arial" w:hAnsi="Arial" w:cs="Arial"/>
                <w:b/>
                <w:color w:val="222222"/>
                <w:sz w:val="22"/>
                <w:szCs w:val="22"/>
                <w:lang w:val="es-ES_tradnl" w:eastAsia="es-MX"/>
              </w:rPr>
              <w:t>Domene</w:t>
            </w:r>
            <w:proofErr w:type="spellEnd"/>
            <w:r w:rsidRPr="000F752F">
              <w:rPr>
                <w:rFonts w:ascii="Arial" w:hAnsi="Arial" w:cs="Arial"/>
                <w:b/>
                <w:color w:val="222222"/>
                <w:sz w:val="22"/>
                <w:szCs w:val="22"/>
                <w:lang w:val="es-ES_tradnl" w:eastAsia="es-MX"/>
              </w:rPr>
              <w:t xml:space="preserve"> Zambrano</w:t>
            </w:r>
          </w:p>
        </w:tc>
      </w:tr>
      <w:tr w:rsidR="0022687E" w:rsidRPr="000F752F" w:rsidTr="0022687E">
        <w:trPr>
          <w:trHeight w:val="690"/>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Encargada de la Secretaría de Planeación y Comunicación</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Encargada de la Dirección del DIF MTY </w:t>
            </w:r>
          </w:p>
        </w:tc>
      </w:tr>
      <w:tr w:rsidR="0022687E" w:rsidRPr="000F752F" w:rsidTr="0022687E">
        <w:trPr>
          <w:trHeight w:val="122"/>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Lic. Liliana </w:t>
            </w:r>
            <w:proofErr w:type="spellStart"/>
            <w:r w:rsidRPr="000F752F">
              <w:rPr>
                <w:rFonts w:ascii="Arial" w:hAnsi="Arial" w:cs="Arial"/>
                <w:b/>
                <w:color w:val="222222"/>
                <w:sz w:val="22"/>
                <w:szCs w:val="22"/>
                <w:lang w:val="es-ES_tradnl" w:eastAsia="es-MX"/>
              </w:rPr>
              <w:t>Muraira</w:t>
            </w:r>
            <w:proofErr w:type="spellEnd"/>
            <w:r w:rsidRPr="000F752F">
              <w:rPr>
                <w:rFonts w:ascii="Arial" w:hAnsi="Arial" w:cs="Arial"/>
                <w:b/>
                <w:color w:val="222222"/>
                <w:sz w:val="22"/>
                <w:szCs w:val="22"/>
                <w:lang w:val="es-ES_tradnl" w:eastAsia="es-MX"/>
              </w:rPr>
              <w:t xml:space="preserve"> Romero</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Arturo Ramírez González</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Encargada del Instituto de la Mujer Regia</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Encargado del Instituto de la Juventud Regia</w:t>
            </w:r>
          </w:p>
        </w:tc>
      </w:tr>
      <w:tr w:rsidR="0022687E" w:rsidRPr="000F752F" w:rsidTr="0022687E">
        <w:trPr>
          <w:trHeight w:val="345"/>
        </w:trPr>
        <w:tc>
          <w:tcPr>
            <w:tcW w:w="4962" w:type="dxa"/>
            <w:tcBorders>
              <w:top w:val="nil"/>
              <w:left w:val="nil"/>
              <w:bottom w:val="nil"/>
              <w:right w:val="nil"/>
            </w:tcBorders>
            <w:shd w:val="clear" w:color="auto" w:fill="auto"/>
            <w:vAlign w:val="center"/>
          </w:tcPr>
          <w:p w:rsidR="0022687E" w:rsidRPr="000F752F" w:rsidRDefault="0022687E" w:rsidP="0022687E">
            <w:pPr>
              <w:rPr>
                <w:rFonts w:ascii="Arial" w:hAnsi="Arial" w:cs="Arial"/>
                <w:b/>
                <w:color w:val="222222"/>
                <w:sz w:val="22"/>
                <w:szCs w:val="22"/>
                <w:lang w:val="es-ES_tradnl" w:eastAsia="es-MX"/>
              </w:rPr>
            </w:pPr>
          </w:p>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Luz Consuelo Castillo Pérez</w:t>
            </w:r>
          </w:p>
        </w:tc>
        <w:tc>
          <w:tcPr>
            <w:tcW w:w="230" w:type="dxa"/>
            <w:tcBorders>
              <w:top w:val="nil"/>
              <w:left w:val="nil"/>
              <w:bottom w:val="nil"/>
              <w:right w:val="nil"/>
            </w:tcBorders>
            <w:shd w:val="clear" w:color="auto" w:fill="auto"/>
            <w:noWrap/>
            <w:vAlign w:val="bottom"/>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tcPr>
          <w:p w:rsidR="0022687E" w:rsidRPr="000F752F" w:rsidRDefault="0022687E" w:rsidP="0022687E">
            <w:pPr>
              <w:rPr>
                <w:rFonts w:ascii="Arial" w:hAnsi="Arial" w:cs="Arial"/>
                <w:color w:val="222222"/>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tcPr>
          <w:p w:rsidR="0022687E" w:rsidRPr="000F752F" w:rsidRDefault="0022687E" w:rsidP="0022687E">
            <w:pPr>
              <w:spacing w:after="200"/>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Encargada del despacho del Instituto Municipal de Planeación Urbana y Convivencia</w:t>
            </w:r>
          </w:p>
          <w:p w:rsidR="0022687E" w:rsidRPr="000F752F" w:rsidRDefault="0022687E" w:rsidP="0022687E">
            <w:pPr>
              <w:rPr>
                <w:rFonts w:ascii="Arial" w:hAnsi="Arial" w:cs="Arial"/>
                <w:b/>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tcPr>
          <w:p w:rsidR="0022687E" w:rsidRPr="000F752F" w:rsidRDefault="0022687E" w:rsidP="0022687E">
            <w:pPr>
              <w:rPr>
                <w:rFonts w:ascii="Arial" w:hAnsi="Arial" w:cs="Arial"/>
                <w:color w:val="222222"/>
                <w:sz w:val="22"/>
                <w:szCs w:val="22"/>
                <w:lang w:val="es-ES_tradnl" w:eastAsia="es-MX"/>
              </w:rPr>
            </w:pPr>
          </w:p>
        </w:tc>
      </w:tr>
    </w:tbl>
    <w:p w:rsidR="0022687E" w:rsidRPr="0022687E" w:rsidRDefault="0022687E" w:rsidP="0022687E">
      <w:pPr>
        <w:spacing w:after="200"/>
        <w:rPr>
          <w:rFonts w:ascii="Arial" w:eastAsia="MS Mincho" w:hAnsi="Arial" w:cs="Arial"/>
          <w:b/>
          <w:bCs/>
          <w:color w:val="C0504D"/>
          <w:sz w:val="36"/>
          <w:szCs w:val="36"/>
          <w:lang w:val="es-MX" w:eastAsia="ja-JP"/>
        </w:rPr>
      </w:pPr>
      <w:r w:rsidRPr="0022687E">
        <w:rPr>
          <w:rFonts w:ascii="Arial" w:eastAsia="MS Mincho" w:hAnsi="Arial" w:cs="Arial"/>
          <w:b/>
          <w:bCs/>
          <w:color w:val="C0504D"/>
          <w:sz w:val="36"/>
          <w:szCs w:val="36"/>
          <w:lang w:val="es-MX" w:eastAsia="ja-JP"/>
        </w:rPr>
        <w:br w:type="page"/>
      </w:r>
    </w:p>
    <w:p w:rsidR="0022687E" w:rsidRPr="0022687E" w:rsidRDefault="0022687E" w:rsidP="0022687E">
      <w:pPr>
        <w:shd w:val="clear" w:color="auto" w:fill="FFFFFF"/>
        <w:spacing w:before="100" w:beforeAutospacing="1" w:after="100" w:afterAutospacing="1"/>
        <w:rPr>
          <w:rFonts w:ascii="Arial" w:eastAsia="MS Mincho" w:hAnsi="Arial" w:cs="Arial"/>
          <w:color w:val="7C7C7C"/>
          <w:lang w:val="es-ES_tradnl"/>
        </w:rPr>
      </w:pPr>
      <w:r w:rsidRPr="0022687E">
        <w:rPr>
          <w:rFonts w:ascii="Arial" w:eastAsia="MS Mincho" w:hAnsi="Arial" w:cs="Arial"/>
          <w:b/>
          <w:color w:val="C0504D"/>
          <w:sz w:val="40"/>
          <w:szCs w:val="40"/>
          <w:lang w:val="es-ES_tradnl"/>
        </w:rPr>
        <w:lastRenderedPageBreak/>
        <w:t>Marco jurídico</w:t>
      </w:r>
      <w:r w:rsidRPr="0022687E">
        <w:rPr>
          <w:rFonts w:ascii="Arial" w:eastAsia="MS Mincho" w:hAnsi="Arial" w:cs="Arial"/>
          <w:color w:val="7C7C7C"/>
          <w:lang w:val="es-ES_tradnl"/>
        </w:rPr>
        <w:t xml:space="preserve">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val="es-ES_tradnl" w:eastAsia="ja-JP"/>
        </w:rPr>
        <w:t>El Plan Municipal de Desarrollo, como lo define el artículo 152 de la Ley de Gobierno Municipal del Estado de Nuevo León, “</w:t>
      </w:r>
      <w:r w:rsidRPr="000F752F">
        <w:rPr>
          <w:rFonts w:ascii="Arial" w:eastAsia="MS Mincho" w:hAnsi="Arial" w:cs="Arial"/>
          <w:sz w:val="22"/>
          <w:szCs w:val="22"/>
          <w:lang w:eastAsia="ja-JP"/>
        </w:rPr>
        <w:t xml:space="preserve">es el instrumento que permite ordenar las políticas mediante la definición de objetivos, estrategias, metas y acciones concretas”.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Es deber del Ayuntamiento el organizar un sistema de planeación que permita el desarrollo adecuado de las funciones de la administración pública municipal, así como la coordinación entre los distintos actores gubernamentales y sociales, orientando las decisiones públicas hacia el cumplimiento de objetivos y metas específicas.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Este instrumento de planeación se elabora a partir de un marco jurídico de referencia, el cual delimita las facultades y obligaciones de esta administración pública en el ejercicio de sus funciones. </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lang w:eastAsia="ja-JP"/>
        </w:rPr>
      </w:pPr>
      <w:r w:rsidRPr="000F752F">
        <w:rPr>
          <w:rFonts w:ascii="Arial" w:eastAsia="MS Mincho" w:hAnsi="Arial" w:cs="Arial"/>
          <w:sz w:val="22"/>
          <w:szCs w:val="22"/>
          <w:lang w:eastAsia="ja-JP"/>
        </w:rPr>
        <w:t>Como norma fundamental encontramos la Constitución Política de los Estados Unidos Mexicanos (CPEUM), la cual dispone en su artículo 25, lo siguiente</w:t>
      </w:r>
      <w:r w:rsidRPr="0022687E">
        <w:rPr>
          <w:rFonts w:ascii="Arial" w:eastAsia="MS Mincho" w:hAnsi="Arial" w:cs="Arial"/>
          <w:lang w:eastAsia="ja-JP"/>
        </w:rPr>
        <w:t xml:space="preserve">: </w:t>
      </w:r>
    </w:p>
    <w:p w:rsidR="0022687E" w:rsidRPr="0022687E" w:rsidRDefault="0022687E" w:rsidP="0022687E">
      <w:pPr>
        <w:shd w:val="clear" w:color="auto" w:fill="FFFFFF"/>
        <w:spacing w:before="100" w:beforeAutospacing="1" w:after="100" w:afterAutospacing="1"/>
        <w:ind w:left="567" w:right="701"/>
        <w:jc w:val="both"/>
        <w:rPr>
          <w:rFonts w:ascii="Arial" w:eastAsia="MS Mincho" w:hAnsi="Arial" w:cs="Arial"/>
          <w:sz w:val="22"/>
          <w:szCs w:val="22"/>
          <w:lang w:val="es-ES_tradnl"/>
        </w:rPr>
      </w:pPr>
      <w:r w:rsidRPr="0022687E">
        <w:rPr>
          <w:rFonts w:ascii="Arial" w:eastAsia="MS Mincho" w:hAnsi="Arial" w:cs="Arial"/>
          <w:iCs/>
          <w:sz w:val="22"/>
          <w:szCs w:val="22"/>
          <w:lang w:val="es-ES_tradnl"/>
        </w:rPr>
        <w:t xml:space="preserve">“Corresponde al Estado la rectoría del desarrollo nacional para garantizar que sea integral y sustentable, que fortalezca la soberanía de la Nación y su régimen democrático y que, mediante la competitividad, el fomento del crecimiento económico y el empleo y una más justa distribución del ingreso y la riqueza, permita el pleno ejercicio de la libertad y la dignidad de los individuos, grupos y clases sociales, cuya seguridad protege esta Constitución. La competitividad se entenderá como el conjunto de condiciones necesarias para generar un mayor crecimiento económico, promoviendo la inversión y la generación de empleo. El Estado planeará, conducirá, coordinará y orientará la actividad económica nacional, y llevará al cabo la regulación y fomento de las actividades que demande el interés general en el marco de libertades que otorga esta Constitución.” </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De igual manera, dando cumplimiento a lo dispuesto por el artículo 26 de la CPEUM, el Plan Municipal de Desarrollo se desarrolla sobre la base de una planeación democrática, integrando las necesidades y demandas de los distintos sectores de la sociedad. Además, para la elaboración de este instrumento de planeación estratégica, </w:t>
      </w:r>
      <w:r w:rsidRPr="000F752F">
        <w:rPr>
          <w:rFonts w:ascii="Arial" w:eastAsia="MS Mincho" w:hAnsi="Arial" w:cs="Arial"/>
          <w:sz w:val="22"/>
          <w:szCs w:val="22"/>
          <w:lang w:val="es-ES_tradnl"/>
        </w:rPr>
        <w:lastRenderedPageBreak/>
        <w:t xml:space="preserve">se observa lo dispuesto por el artículo 115 de la CPEUM, el cual establece las atribuciones y obligaciones de los Municipios en el Estado mexicano. </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Así mismo, este Plan Municipal de Desarrollo 2015-2018 se elabora observando la Constitución Política del Estado Libre y Soberano de Nuevo León en sus artículos 15, 128, 131, 132 y demás disposiciones aplicables de dicho ordenamiento. </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Por su parte, la Ley de Gobierno Municipal del Estado de Nuevo León establece la obligación del Ayuntamiento de integrar un sistema de planeación, señalando en su artículo 150 lo siguiente: </w:t>
      </w:r>
    </w:p>
    <w:p w:rsidR="0022687E" w:rsidRPr="0022687E" w:rsidRDefault="0022687E" w:rsidP="0022687E">
      <w:pPr>
        <w:widowControl w:val="0"/>
        <w:autoSpaceDE w:val="0"/>
        <w:autoSpaceDN w:val="0"/>
        <w:adjustRightInd w:val="0"/>
        <w:spacing w:after="240"/>
        <w:ind w:left="567" w:right="701"/>
        <w:jc w:val="both"/>
        <w:rPr>
          <w:rFonts w:ascii="Arial" w:eastAsia="MS Mincho" w:hAnsi="Arial" w:cs="Arial"/>
          <w:sz w:val="22"/>
          <w:szCs w:val="22"/>
          <w:lang w:eastAsia="ja-JP"/>
        </w:rPr>
      </w:pPr>
      <w:r w:rsidRPr="0022687E">
        <w:rPr>
          <w:rFonts w:ascii="Arial" w:eastAsia="MS Mincho" w:hAnsi="Arial" w:cs="Arial"/>
          <w:sz w:val="22"/>
          <w:szCs w:val="22"/>
          <w:lang w:eastAsia="ja-JP"/>
        </w:rPr>
        <w:t>El Ayuntamiento organizará un sistema de planeación del desarrollo municipal, el que se concretizará en el Plan Municipal de Desarrollo y los programas que se deriven de dicho plan. En la planeación se fijarán los objetivos, metas, estrategias y prioridades para la asignación de recursos, responsabilidades y tiempos de ejecución en los que se coordinarán las acciones y se evaluarán los resultados</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Este ordenamiento dispone en sus artículos 150, 151, 152, 153, 154, 155, y 156 los contenidos mínimos del Plan Municipal de Desarrollo, mismos que sirvieron de base y fundamento para la elaboración de este instrumento que regirá la planeación de la administración pública municipal de Monterrey, Nuevo León durante el periodo 2015-2018. </w:t>
      </w:r>
    </w:p>
    <w:p w:rsidR="0022687E" w:rsidRPr="0022687E" w:rsidRDefault="0022687E" w:rsidP="0022687E">
      <w:pPr>
        <w:spacing w:after="200"/>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br w:type="page"/>
      </w:r>
    </w:p>
    <w:p w:rsidR="0022687E" w:rsidRPr="0022687E" w:rsidRDefault="0022687E" w:rsidP="0022687E">
      <w:pPr>
        <w:spacing w:after="200"/>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lastRenderedPageBreak/>
        <w:t>Proceso para la elaboración del Plan Municipal de Desarrollo</w:t>
      </w:r>
    </w:p>
    <w:p w:rsidR="0022687E" w:rsidRPr="0022687E" w:rsidRDefault="0022687E" w:rsidP="0022687E">
      <w:pPr>
        <w:spacing w:after="200"/>
        <w:rPr>
          <w:rFonts w:ascii="Arial" w:eastAsia="MS Mincho" w:hAnsi="Arial" w:cs="Arial"/>
          <w:lang w:val="es-ES_tradnl" w:eastAsia="ja-JP"/>
        </w:rPr>
      </w:pP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La elaboración del Plan Municipal de Desarrollo se realizó a través de un proceso integral de planeación democrática, que integra la visión de la administración municipal 2015-2018, así como las necesidades y demandas de la sociedad regiomontana.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Para llegar a este resultado, se llevaron a cabo las siguientes etapas: </w:t>
      </w:r>
    </w:p>
    <w:p w:rsidR="0022687E" w:rsidRPr="0022687E" w:rsidRDefault="0022687E" w:rsidP="0022687E">
      <w:pPr>
        <w:spacing w:after="200" w:line="360" w:lineRule="auto"/>
        <w:jc w:val="center"/>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4D42707F" wp14:editId="08E29C05">
            <wp:extent cx="3907155" cy="3170833"/>
            <wp:effectExtent l="0" t="0" r="4445" b="4445"/>
            <wp:docPr id="6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8234" cy="3171708"/>
                    </a:xfrm>
                    <a:prstGeom prst="rect">
                      <a:avLst/>
                    </a:prstGeom>
                    <a:noFill/>
                    <a:ln>
                      <a:noFill/>
                    </a:ln>
                  </pic:spPr>
                </pic:pic>
              </a:graphicData>
            </a:graphic>
          </wp:inline>
        </w:drawing>
      </w:r>
    </w:p>
    <w:p w:rsidR="0022687E" w:rsidRPr="0022687E" w:rsidRDefault="0022687E" w:rsidP="0022687E">
      <w:pPr>
        <w:spacing w:after="200"/>
        <w:jc w:val="both"/>
        <w:rPr>
          <w:rFonts w:ascii="Arial" w:eastAsia="MS Mincho" w:hAnsi="Arial" w:cs="Arial"/>
          <w:b/>
          <w:color w:val="C0504D"/>
          <w:sz w:val="40"/>
          <w:szCs w:val="40"/>
          <w:lang w:val="es-ES_tradnl" w:eastAsia="ja-JP"/>
        </w:rPr>
      </w:pPr>
    </w:p>
    <w:p w:rsidR="0022687E" w:rsidRPr="0022687E" w:rsidRDefault="0022687E" w:rsidP="0022687E">
      <w:pPr>
        <w:spacing w:after="200" w:line="360" w:lineRule="auto"/>
        <w:jc w:val="both"/>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1. Proceso Electoral</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Durante el proceso electoral, el Licenciado Adrián de la Garza Santos presentó una oferta política, una propuesta hacia la sociedad regiomontana que ofrecía respuestas y </w:t>
      </w:r>
      <w:r w:rsidRPr="000F752F">
        <w:rPr>
          <w:rFonts w:ascii="Arial" w:eastAsia="MS Mincho" w:hAnsi="Arial" w:cs="Arial"/>
          <w:sz w:val="22"/>
          <w:szCs w:val="22"/>
          <w:lang w:val="es-ES_tradnl" w:eastAsia="ja-JP"/>
        </w:rPr>
        <w:lastRenderedPageBreak/>
        <w:t>soluciones a los principales problemas que enfrenta la sociedad, desde una perspectiva de las atribuciones y alcances de la administración municipal.</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En esta etapa, se sostuvieron encuentros con los distintos sectores de la sociedad, que permitieron conocer de cerca las necesidades de las personas que viven en el Municipio de Monterrey y que demandan de éste un gobierno cercano, abierto, eficiente y responsable.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Es así que se integraron compromisos del candidato hacia la sociedad, mismos que son recogidos en este documento, enriquecidos y fortalecidos a través de las propuestas de los gabinetes de gobierno y la sociedad. </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spacing w:after="200"/>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2. Proceso de transición</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Con el fin de llevar a cabo un proceso transición ordenado y orientado hacia la obtención de información útil para el adecuado desarrollo de las funciones de la administración pública municipal, así como para el diseño e implementación de las políticas públicas previstas durante el proceso electoral, se integraron cinco ejes con sus respectivos responsables: Seguridad; Gobierno; Infraestructura; Bienestar; y, Administración y Finanzas.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Los representantes de cada eje y sus equipos se dieron a la tarea de solicitar información general y específica respecto de las funciones de cada una de las secretarías comprendidas en dichos ejes. Además, se sostuvieron reuniones con enlaces de la administración pública saliente y se realizaron visitas a las instalaciones municipales para conocer la operación diaria, así como sus principales áreas de oportunidad.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Por otra parte, durante esta etapa, se procedió a realizar el análisis de la Ley de Gobierno Municipal del Estado de Nuevo León, misma que entró en vigor el día 31 de </w:t>
      </w:r>
      <w:r w:rsidRPr="000F752F">
        <w:rPr>
          <w:rFonts w:ascii="Arial" w:eastAsia="MS Mincho" w:hAnsi="Arial" w:cs="Arial"/>
          <w:sz w:val="22"/>
          <w:szCs w:val="22"/>
          <w:lang w:val="es-ES_tradnl" w:eastAsia="ja-JP"/>
        </w:rPr>
        <w:lastRenderedPageBreak/>
        <w:t xml:space="preserve">octubre de 2015 y que establece los lineamientos para la elaboración del presente documento. </w:t>
      </w:r>
    </w:p>
    <w:p w:rsidR="0022687E" w:rsidRPr="0022687E" w:rsidRDefault="0022687E" w:rsidP="0022687E">
      <w:pPr>
        <w:spacing w:after="200"/>
        <w:rPr>
          <w:rFonts w:ascii="Arial" w:eastAsia="MS Mincho" w:hAnsi="Arial" w:cs="Arial"/>
          <w:b/>
          <w:color w:val="C0504D"/>
          <w:sz w:val="32"/>
          <w:szCs w:val="32"/>
          <w:lang w:val="es-ES_tradnl" w:eastAsia="ja-JP"/>
        </w:rPr>
      </w:pPr>
    </w:p>
    <w:p w:rsidR="0022687E" w:rsidRPr="0022687E" w:rsidRDefault="0022687E" w:rsidP="0022687E">
      <w:pPr>
        <w:spacing w:after="200"/>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3. Definición de Objetivos</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Una vez definida la visión y misión de la administración pública municipal 2015-2018 y conociendo la información disponible y obtenida durante el proceso de transición, se procedió a la definición de los ejes que regirían el actuar gubernamental durante este periodo: Seguridad Integral; Gobierno Abierto; Derechos Humanos e Inclusión Social; Desarrollo Urbano Sustentable; Desarrollo Económico; e Innovación Gubernamental.</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A partir de los ejes rectores y la obtención de información relativa a cada uno de ellos, así como buenas prácticas implementadas en otras partes del país y el mundo, se definieron, en coordinación con opiniones de expertos y los gabinetes de gobierno, los objetivos estratégicos del Plan Municipal de Desarrollo.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Para alcanzar los objetivos planteados, se diseñaron proyectos estratégicos, definiendo sus principales componentes y tiempos de ejecución, así como las metas e indicadores que servirían para evaluar el avance respecto de los objetivos planteados.</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spacing w:after="200"/>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4. Foro para la elaboración del Plan Municipal de Desarrollo</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Como parte de un proceso de planeación democrática, se realizó el proceso de participación ciudadana, en el que intervinieron expertos en cada uno de los ejes rectores del Plan Municipal de Desarrollo, actores de la sociedad civil organizada y la ciudadanía en general para compartir sus conocimientos, experiencias e inquietudes respecto a los principales problemas que enfrenta el Municipio de Monterrey en cada uno de los tópicos seleccionados.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lastRenderedPageBreak/>
        <w:t xml:space="preserve">Las opiniones, demandas y propuestas recabadas durante este proceso vinieron a enriquecer e integrar los objetivos y proyectos estratégicos previamente diseñados, aportando una visión integradora y un compromiso de la sociedad y el gobierno municipal para el cumplimiento de las metas que aseguren el bienestar de la sociedad regiomontana y el posicionamiento de Monterrey como una ciudad global. </w:t>
      </w:r>
    </w:p>
    <w:p w:rsidR="0022687E" w:rsidRPr="0022687E" w:rsidRDefault="0022687E" w:rsidP="0022687E">
      <w:pPr>
        <w:spacing w:after="200"/>
        <w:rPr>
          <w:rFonts w:ascii="Arial" w:eastAsia="MS Mincho" w:hAnsi="Arial" w:cs="Arial"/>
          <w:lang w:val="es-ES_tradnl" w:eastAsia="ja-JP"/>
        </w:rPr>
      </w:pPr>
    </w:p>
    <w:p w:rsidR="0022687E" w:rsidRPr="0022687E" w:rsidRDefault="0022687E" w:rsidP="0022687E">
      <w:pPr>
        <w:spacing w:after="200" w:line="360" w:lineRule="auto"/>
        <w:jc w:val="both"/>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t>Diagnóstico Municipal</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El municipio de Monterrey, Nuevo León es la capital del estado y se localiza en el paralelo 25°40' de latitud norte y 100°18' de meridiano oeste, a 537 metros sobre el nivel del mar, en la región noreste de la República Mexicana (Instituto para el Federalismo y el Desarrollo Municipal [INAFED], </w:t>
      </w:r>
      <w:proofErr w:type="spellStart"/>
      <w:r w:rsidRPr="000F752F">
        <w:rPr>
          <w:rFonts w:ascii="Arial" w:eastAsia="MS Mincho" w:hAnsi="Arial" w:cs="Arial"/>
          <w:sz w:val="22"/>
          <w:szCs w:val="22"/>
          <w:lang w:eastAsia="ja-JP"/>
        </w:rPr>
        <w:t>s.f.a</w:t>
      </w:r>
      <w:proofErr w:type="spellEnd"/>
      <w:r w:rsidRPr="000F752F">
        <w:rPr>
          <w:rFonts w:ascii="Arial" w:eastAsia="MS Mincho" w:hAnsi="Arial" w:cs="Arial"/>
          <w:sz w:val="22"/>
          <w:szCs w:val="22"/>
          <w:lang w:eastAsia="ja-JP"/>
        </w:rPr>
        <w:t xml:space="preserve">).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La superficie de Monterrey es de 323.60 km</w:t>
      </w:r>
      <w:r w:rsidRPr="000F752F">
        <w:rPr>
          <w:rFonts w:ascii="Arial" w:eastAsia="MS Mincho" w:hAnsi="Arial" w:cs="Arial"/>
          <w:sz w:val="22"/>
          <w:szCs w:val="22"/>
          <w:vertAlign w:val="superscript"/>
          <w:lang w:eastAsia="ja-JP"/>
        </w:rPr>
        <w:t>2</w:t>
      </w:r>
      <w:r w:rsidRPr="000F752F">
        <w:rPr>
          <w:rFonts w:ascii="Arial" w:eastAsia="MS Mincho" w:hAnsi="Arial" w:cs="Arial"/>
          <w:sz w:val="22"/>
          <w:szCs w:val="22"/>
          <w:lang w:eastAsia="ja-JP"/>
        </w:rPr>
        <w:t xml:space="preserve">, la cual representa el 0.50% del territorio del estado (Instituto Nacional de Geografía y Estadística (INEGI), 2005; INEGI, </w:t>
      </w:r>
      <w:proofErr w:type="spellStart"/>
      <w:r w:rsidRPr="000F752F">
        <w:rPr>
          <w:rFonts w:ascii="Arial" w:eastAsia="MS Mincho" w:hAnsi="Arial" w:cs="Arial"/>
          <w:sz w:val="22"/>
          <w:szCs w:val="22"/>
          <w:lang w:eastAsia="ja-JP"/>
        </w:rPr>
        <w:t>s.f.a</w:t>
      </w:r>
      <w:proofErr w:type="spellEnd"/>
      <w:r w:rsidRPr="000F752F">
        <w:rPr>
          <w:rFonts w:ascii="Arial" w:eastAsia="MS Mincho" w:hAnsi="Arial" w:cs="Arial"/>
          <w:sz w:val="22"/>
          <w:szCs w:val="22"/>
          <w:lang w:eastAsia="ja-JP"/>
        </w:rPr>
        <w:t xml:space="preserve">; INAFED, </w:t>
      </w:r>
      <w:proofErr w:type="spellStart"/>
      <w:r w:rsidRPr="000F752F">
        <w:rPr>
          <w:rFonts w:ascii="Arial" w:eastAsia="MS Mincho" w:hAnsi="Arial" w:cs="Arial"/>
          <w:sz w:val="22"/>
          <w:szCs w:val="22"/>
          <w:lang w:eastAsia="ja-JP"/>
        </w:rPr>
        <w:t>s.f.a</w:t>
      </w:r>
      <w:proofErr w:type="spellEnd"/>
      <w:r w:rsidRPr="000F752F">
        <w:rPr>
          <w:rFonts w:ascii="Arial" w:eastAsia="MS Mincho" w:hAnsi="Arial" w:cs="Arial"/>
          <w:sz w:val="22"/>
          <w:szCs w:val="22"/>
          <w:lang w:eastAsia="ja-JP"/>
        </w:rPr>
        <w:t>). Dicho municipio forma parte de la Zona Metropolitana de Monterrey (ZMM)</w:t>
      </w:r>
      <w:r w:rsidRPr="000F752F">
        <w:rPr>
          <w:rFonts w:ascii="Arial" w:eastAsia="MS Mincho" w:hAnsi="Arial" w:cs="Arial"/>
          <w:sz w:val="22"/>
          <w:szCs w:val="22"/>
          <w:vertAlign w:val="superscript"/>
          <w:lang w:eastAsia="ja-JP"/>
        </w:rPr>
        <w:footnoteReference w:id="1"/>
      </w:r>
      <w:r w:rsidRPr="000F752F">
        <w:rPr>
          <w:rFonts w:ascii="Arial" w:eastAsia="MS Mincho" w:hAnsi="Arial" w:cs="Arial"/>
          <w:sz w:val="22"/>
          <w:szCs w:val="22"/>
          <w:lang w:eastAsia="ja-JP"/>
        </w:rPr>
        <w:t xml:space="preserve"> y colinda al norte con los municipios de</w:t>
      </w:r>
      <w:r w:rsidRPr="0022687E">
        <w:rPr>
          <w:rFonts w:ascii="Arial" w:eastAsia="MS Mincho" w:hAnsi="Arial" w:cs="Arial"/>
          <w:lang w:eastAsia="ja-JP"/>
        </w:rPr>
        <w:t xml:space="preserve"> </w:t>
      </w:r>
      <w:r w:rsidRPr="000F752F">
        <w:rPr>
          <w:rFonts w:ascii="Arial" w:eastAsia="MS Mincho" w:hAnsi="Arial" w:cs="Arial"/>
          <w:sz w:val="22"/>
          <w:szCs w:val="22"/>
          <w:lang w:eastAsia="ja-JP"/>
        </w:rPr>
        <w:t>San Nicolás de los Garza y General</w:t>
      </w:r>
      <w:r w:rsidRPr="0022687E">
        <w:rPr>
          <w:rFonts w:ascii="Arial" w:eastAsia="MS Mincho" w:hAnsi="Arial" w:cs="Arial"/>
          <w:lang w:eastAsia="ja-JP"/>
        </w:rPr>
        <w:t xml:space="preserve"> </w:t>
      </w:r>
      <w:r w:rsidRPr="000F752F">
        <w:rPr>
          <w:rFonts w:ascii="Arial" w:eastAsia="MS Mincho" w:hAnsi="Arial" w:cs="Arial"/>
          <w:sz w:val="22"/>
          <w:szCs w:val="22"/>
          <w:lang w:eastAsia="ja-JP"/>
        </w:rPr>
        <w:lastRenderedPageBreak/>
        <w:t xml:space="preserve">Escobedo; al sur con los municipios de San Pedro Garza García y Santiago; al este con Guadalupe y Juárez (INAFED, </w:t>
      </w:r>
      <w:proofErr w:type="spellStart"/>
      <w:r w:rsidRPr="000F752F">
        <w:rPr>
          <w:rFonts w:ascii="Arial" w:eastAsia="MS Mincho" w:hAnsi="Arial" w:cs="Arial"/>
          <w:sz w:val="22"/>
          <w:szCs w:val="22"/>
          <w:lang w:eastAsia="ja-JP"/>
        </w:rPr>
        <w:t>s.f.a</w:t>
      </w:r>
      <w:proofErr w:type="spellEnd"/>
      <w:r w:rsidRPr="000F752F">
        <w:rPr>
          <w:rFonts w:ascii="Arial" w:eastAsia="MS Mincho" w:hAnsi="Arial" w:cs="Arial"/>
          <w:sz w:val="22"/>
          <w:szCs w:val="22"/>
          <w:lang w:eastAsia="ja-JP"/>
        </w:rPr>
        <w:t xml:space="preserve">).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Según el Censo de Población y Vivienda 2010, el 86% de la población total de la entidad habita en los diez municipios más poblados de Nuevo León, los cuales se incluyen en la ZMM (INEGI, 2011a).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Al respecto, “[l]os cuatro municipios con mayor población, Monterrey, Guadalupe, Apodaca y San Nicolás de los Garza concentran un total de 2’780,199 personas, dicha cifra representa 59.7%, es decir 6 de cada 10 neoloneses habitan ahí” (INEGI, 2011a, p. 3).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El municipio de Monterrey alberga casi un 30% de la población total del estado, al concentrar un total de 1’335,550 habitantes (INEGI, 2011a, </w:t>
      </w:r>
      <w:proofErr w:type="spellStart"/>
      <w:r w:rsidRPr="000F752F">
        <w:rPr>
          <w:rFonts w:ascii="Arial" w:eastAsia="MS Mincho" w:hAnsi="Arial" w:cs="Arial"/>
          <w:sz w:val="22"/>
          <w:szCs w:val="22"/>
          <w:lang w:eastAsia="ja-JP"/>
        </w:rPr>
        <w:t>s.f.b</w:t>
      </w:r>
      <w:proofErr w:type="spellEnd"/>
      <w:r w:rsidRPr="000F752F">
        <w:rPr>
          <w:rFonts w:ascii="Arial" w:eastAsia="MS Mincho" w:hAnsi="Arial" w:cs="Arial"/>
          <w:sz w:val="22"/>
          <w:szCs w:val="22"/>
          <w:lang w:eastAsia="ja-JP"/>
        </w:rPr>
        <w:t xml:space="preserve">), es decir 3 de cada 10 neoloneses habitan ahí. </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lang w:eastAsia="ja-JP"/>
        </w:rPr>
      </w:pPr>
      <w:r w:rsidRPr="0022687E">
        <w:rPr>
          <w:rFonts w:ascii="Arial" w:eastAsia="MS Mincho" w:hAnsi="Arial" w:cs="Arial"/>
          <w:lang w:eastAsia="ja-JP"/>
        </w:rPr>
        <w:t xml:space="preserve"> </w:t>
      </w:r>
    </w:p>
    <w:p w:rsidR="0022687E" w:rsidRPr="0022687E" w:rsidRDefault="0022687E" w:rsidP="0022687E">
      <w:pPr>
        <w:keepNext/>
        <w:spacing w:before="100" w:beforeAutospacing="1" w:after="100" w:afterAutospacing="1"/>
        <w:jc w:val="center"/>
        <w:rPr>
          <w:rFonts w:ascii="Times" w:eastAsia="MS Mincho" w:hAnsi="Times"/>
          <w:sz w:val="20"/>
          <w:szCs w:val="20"/>
          <w:lang w:val="es-ES_tradnl"/>
        </w:rPr>
      </w:pPr>
      <w:r w:rsidRPr="0022687E">
        <w:rPr>
          <w:rFonts w:ascii="Arial" w:eastAsia="MS Mincho" w:hAnsi="Arial" w:cs="Arial"/>
          <w:noProof/>
          <w:lang w:val="es-MX" w:eastAsia="es-MX"/>
        </w:rPr>
        <w:lastRenderedPageBreak/>
        <w:drawing>
          <wp:inline distT="0" distB="0" distL="0" distR="0" wp14:anchorId="78CFF63B" wp14:editId="5D262D9E">
            <wp:extent cx="4566981" cy="4794348"/>
            <wp:effectExtent l="25400" t="25400" r="30480" b="317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8136" cy="4806058"/>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lang w:val="es-MX" w:eastAsia="en-US"/>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1</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Municipios con m</w:t>
      </w:r>
      <w:bookmarkStart w:id="0" w:name="_GoBack"/>
      <w:bookmarkEnd w:id="0"/>
      <w:r w:rsidRPr="0022687E">
        <w:rPr>
          <w:rFonts w:ascii="Arial" w:eastAsia="Cambria" w:hAnsi="Arial" w:cs="Arial"/>
          <w:i/>
          <w:iCs/>
          <w:color w:val="1F497D"/>
          <w:sz w:val="18"/>
          <w:szCs w:val="18"/>
          <w:lang w:val="es-MX" w:eastAsia="en-US"/>
        </w:rPr>
        <w:t>ayor y menor población. Fuente: INEGI, Principales resultados del Censo de Población y Vivienda 2010 Nuevo León (2011).</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La ciudad de Monterrey está situada en el pie del monte septentrional de la Sierra Madre Oriental, </w:t>
      </w:r>
      <w:r w:rsidRPr="000F752F">
        <w:rPr>
          <w:rFonts w:ascii="Arial" w:eastAsia="MS Mincho" w:hAnsi="Arial" w:cs="Arial"/>
          <w:sz w:val="22"/>
          <w:szCs w:val="22"/>
          <w:lang w:val="es-ES_tradnl" w:eastAsia="ja-JP"/>
        </w:rPr>
        <w:t>en el plano inclinado del Golfo,</w:t>
      </w:r>
      <w:r w:rsidRPr="000F752F">
        <w:rPr>
          <w:rFonts w:ascii="Arial" w:eastAsia="MS Mincho" w:hAnsi="Arial" w:cs="Arial"/>
          <w:sz w:val="22"/>
          <w:szCs w:val="22"/>
          <w:lang w:eastAsia="ja-JP"/>
        </w:rPr>
        <w:t xml:space="preserve"> y es atravesada de poniente a oriente por el cauce seco del Río Santa Catarina, que sólo se llena durante fuertes precipitaciones (INAFED, s. </w:t>
      </w:r>
      <w:proofErr w:type="spellStart"/>
      <w:r w:rsidRPr="000F752F">
        <w:rPr>
          <w:rFonts w:ascii="Arial" w:eastAsia="MS Mincho" w:hAnsi="Arial" w:cs="Arial"/>
          <w:sz w:val="22"/>
          <w:szCs w:val="22"/>
          <w:lang w:eastAsia="ja-JP"/>
        </w:rPr>
        <w:t>f.a</w:t>
      </w:r>
      <w:proofErr w:type="spellEnd"/>
      <w:r w:rsidRPr="000F752F">
        <w:rPr>
          <w:rFonts w:ascii="Arial" w:eastAsia="MS Mincho" w:hAnsi="Arial" w:cs="Arial"/>
          <w:sz w:val="22"/>
          <w:szCs w:val="22"/>
          <w:lang w:eastAsia="ja-JP"/>
        </w:rPr>
        <w:t>; Servicios de Agua y Drenaje de Monterrey I. D. P., s. f.).</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val="es-ES_tradnl" w:eastAsia="ja-JP"/>
        </w:rPr>
        <w:t xml:space="preserve">El valle donde se asienta el municipio de Monterrey, tiene configuración irregular, mismo que se encuentra rodeado por amplias montañas, entre las que destacan el </w:t>
      </w:r>
      <w:r w:rsidRPr="000F752F">
        <w:rPr>
          <w:rFonts w:ascii="Arial" w:eastAsia="MS Mincho" w:hAnsi="Arial" w:cs="Arial"/>
          <w:sz w:val="22"/>
          <w:szCs w:val="22"/>
          <w:lang w:val="es-ES_tradnl" w:eastAsia="ja-JP"/>
        </w:rPr>
        <w:lastRenderedPageBreak/>
        <w:t xml:space="preserve">tradicional Cerro de la Silla, el Cerro del Topo Chico, el Cerro de las Mitras y algunos lomeríos como son la Loma Larga, el Cerro del Mirador y la Loma del Obispado </w:t>
      </w:r>
      <w:r w:rsidRPr="000F752F">
        <w:rPr>
          <w:rFonts w:ascii="Arial" w:eastAsia="MS Mincho" w:hAnsi="Arial" w:cs="Arial"/>
          <w:sz w:val="22"/>
          <w:szCs w:val="22"/>
          <w:lang w:eastAsia="ja-JP"/>
        </w:rPr>
        <w:t xml:space="preserve">(INAFED, s. </w:t>
      </w:r>
      <w:proofErr w:type="spellStart"/>
      <w:r w:rsidRPr="000F752F">
        <w:rPr>
          <w:rFonts w:ascii="Arial" w:eastAsia="MS Mincho" w:hAnsi="Arial" w:cs="Arial"/>
          <w:sz w:val="22"/>
          <w:szCs w:val="22"/>
          <w:lang w:eastAsia="ja-JP"/>
        </w:rPr>
        <w:t>f.a</w:t>
      </w:r>
      <w:proofErr w:type="spellEnd"/>
      <w:r w:rsidRPr="000F752F">
        <w:rPr>
          <w:rFonts w:ascii="Arial" w:eastAsia="MS Mincho" w:hAnsi="Arial" w:cs="Arial"/>
          <w:sz w:val="22"/>
          <w:szCs w:val="22"/>
          <w:lang w:eastAsia="ja-JP"/>
        </w:rPr>
        <w:t>)</w:t>
      </w:r>
      <w:r w:rsidRPr="000F752F">
        <w:rPr>
          <w:rFonts w:ascii="Arial" w:eastAsia="MS Mincho" w:hAnsi="Arial" w:cs="Arial"/>
          <w:sz w:val="22"/>
          <w:szCs w:val="22"/>
          <w:lang w:val="es-ES_tradnl" w:eastAsia="ja-JP"/>
        </w:rPr>
        <w:t>.</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En cuanto al uso potencial del suelo, están dedicadas –aproximadamente</w:t>
      </w:r>
      <w:r w:rsidRPr="000F752F">
        <w:rPr>
          <w:rFonts w:ascii="Arial" w:eastAsia="MS Mincho" w:hAnsi="Arial" w:cs="Arial"/>
          <w:sz w:val="22"/>
          <w:szCs w:val="22"/>
          <w:vertAlign w:val="superscript"/>
          <w:lang w:eastAsia="ja-JP"/>
        </w:rPr>
        <w:footnoteReference w:id="2"/>
      </w:r>
      <w:r w:rsidRPr="000F752F">
        <w:rPr>
          <w:rFonts w:ascii="Arial" w:eastAsia="MS Mincho" w:hAnsi="Arial" w:cs="Arial"/>
          <w:sz w:val="22"/>
          <w:szCs w:val="22"/>
          <w:lang w:eastAsia="ja-JP"/>
        </w:rPr>
        <w:t xml:space="preserve">- al área urbana 25,381 hectáreas (59.1%), a la ganadería 12,863 hectáreas (29.9%) y al uso forestal 4,637 hectáreas (10.8%), mientras que el uso de suelo destinado a actividades agrícolas es nulo al variar del 0% al 0.05% en los diversos estudios estadísticos (INAFED, s. </w:t>
      </w:r>
      <w:proofErr w:type="spellStart"/>
      <w:r w:rsidRPr="000F752F">
        <w:rPr>
          <w:rFonts w:ascii="Arial" w:eastAsia="MS Mincho" w:hAnsi="Arial" w:cs="Arial"/>
          <w:sz w:val="22"/>
          <w:szCs w:val="22"/>
          <w:lang w:eastAsia="ja-JP"/>
        </w:rPr>
        <w:t>f.a</w:t>
      </w:r>
      <w:proofErr w:type="spellEnd"/>
      <w:r w:rsidRPr="000F752F">
        <w:rPr>
          <w:rFonts w:ascii="Arial" w:eastAsia="MS Mincho" w:hAnsi="Arial" w:cs="Arial"/>
          <w:sz w:val="22"/>
          <w:szCs w:val="22"/>
          <w:lang w:eastAsia="ja-JP"/>
        </w:rPr>
        <w:t xml:space="preserve">; INEGI, s. </w:t>
      </w:r>
      <w:proofErr w:type="spellStart"/>
      <w:r w:rsidRPr="000F752F">
        <w:rPr>
          <w:rFonts w:ascii="Arial" w:eastAsia="MS Mincho" w:hAnsi="Arial" w:cs="Arial"/>
          <w:sz w:val="22"/>
          <w:szCs w:val="22"/>
          <w:lang w:eastAsia="ja-JP"/>
        </w:rPr>
        <w:t>f.c</w:t>
      </w:r>
      <w:proofErr w:type="spellEnd"/>
      <w:r w:rsidRPr="000F752F">
        <w:rPr>
          <w:rFonts w:ascii="Arial" w:eastAsia="MS Mincho" w:hAnsi="Arial" w:cs="Arial"/>
          <w:sz w:val="22"/>
          <w:szCs w:val="22"/>
          <w:lang w:eastAsia="ja-JP"/>
        </w:rPr>
        <w:t>).</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El Anuario Estadístico de la Producción Agrícola del Sistema Estatal de Información para el Desarrollo Rural Sustentable contempla como uno de los distritos neoloneses de producción agrícola el de Apodaca, dentro del cual se encuentra la capital neolonesa (Secretaría de Agricultura, Ganadería, Desarrollo Rural, Pesca y Alimentación [SAGARPA], s.f.). Sin embargo, según dicha fuente, no existen datos de producción agrícola en Monterrey.</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Con relación a lo anterior, las actividades primarias son casi nulas, pues representan el 0.1% de las actividades económicas realizadas en el municipio, mientras que las actividades secundarias y terciarias son las más preponderantes (INEGI, </w:t>
      </w:r>
      <w:proofErr w:type="spellStart"/>
      <w:r w:rsidRPr="000F752F">
        <w:rPr>
          <w:rFonts w:ascii="Arial" w:eastAsia="MS Mincho" w:hAnsi="Arial" w:cs="Arial"/>
          <w:sz w:val="22"/>
          <w:szCs w:val="22"/>
          <w:lang w:eastAsia="ja-JP"/>
        </w:rPr>
        <w:t>s.f.c</w:t>
      </w:r>
      <w:proofErr w:type="spellEnd"/>
      <w:r w:rsidRPr="000F752F">
        <w:rPr>
          <w:rFonts w:ascii="Arial" w:eastAsia="MS Mincho" w:hAnsi="Arial" w:cs="Arial"/>
          <w:sz w:val="22"/>
          <w:szCs w:val="22"/>
          <w:lang w:eastAsia="ja-JP"/>
        </w:rPr>
        <w:t xml:space="preserve">).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Según los indicadores del banco de información del INEGI (</w:t>
      </w:r>
      <w:proofErr w:type="spellStart"/>
      <w:r w:rsidRPr="000F752F">
        <w:rPr>
          <w:rFonts w:ascii="Arial" w:eastAsia="MS Mincho" w:hAnsi="Arial" w:cs="Arial"/>
          <w:sz w:val="22"/>
          <w:szCs w:val="22"/>
          <w:lang w:eastAsia="ja-JP"/>
        </w:rPr>
        <w:t>s.f.c</w:t>
      </w:r>
      <w:proofErr w:type="spellEnd"/>
      <w:r w:rsidRPr="000F752F">
        <w:rPr>
          <w:rFonts w:ascii="Arial" w:eastAsia="MS Mincho" w:hAnsi="Arial" w:cs="Arial"/>
          <w:sz w:val="22"/>
          <w:szCs w:val="22"/>
          <w:lang w:eastAsia="ja-JP"/>
        </w:rPr>
        <w:t xml:space="preserve">), no se realizan actividades primarias en Monterrey al estar registradas 0 hectáreas sembradas, cosechadas o producidas. La </w:t>
      </w:r>
      <w:r w:rsidRPr="000F752F">
        <w:rPr>
          <w:rFonts w:ascii="Arial" w:eastAsia="MS Mincho" w:hAnsi="Arial" w:cs="Arial"/>
          <w:i/>
          <w:sz w:val="22"/>
          <w:szCs w:val="22"/>
          <w:lang w:eastAsia="ja-JP"/>
        </w:rPr>
        <w:t xml:space="preserve">Ilustración 2 </w:t>
      </w:r>
      <w:r w:rsidRPr="000F752F">
        <w:rPr>
          <w:rFonts w:ascii="Arial" w:eastAsia="MS Mincho" w:hAnsi="Arial" w:cs="Arial"/>
          <w:sz w:val="22"/>
          <w:szCs w:val="22"/>
          <w:lang w:eastAsia="ja-JP"/>
        </w:rPr>
        <w:t>muestra un mapa de la superficie de unidades de producción con actividad agropecuaria por municipio del estado de Nuevo León según información del Censo Agropecuario de 2007 (INEGI, 2012).</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Dentro de las actividades secundarias, de acuerdo con el INEGI (</w:t>
      </w:r>
      <w:proofErr w:type="spellStart"/>
      <w:r w:rsidRPr="000F752F">
        <w:rPr>
          <w:rFonts w:ascii="Arial" w:eastAsia="MS Mincho" w:hAnsi="Arial" w:cs="Arial"/>
          <w:sz w:val="22"/>
          <w:szCs w:val="22"/>
          <w:lang w:val="es-MX" w:eastAsia="en-US"/>
        </w:rPr>
        <w:t>s.f.c</w:t>
      </w:r>
      <w:proofErr w:type="spellEnd"/>
      <w:r w:rsidRPr="000F752F">
        <w:rPr>
          <w:rFonts w:ascii="Arial" w:eastAsia="MS Mincho" w:hAnsi="Arial" w:cs="Arial"/>
          <w:sz w:val="22"/>
          <w:szCs w:val="22"/>
          <w:lang w:val="es-MX" w:eastAsia="en-US"/>
        </w:rPr>
        <w:t xml:space="preserve">), hasta el año 2008 hubo un total de gastos por consumo de bienes y servicios del sector minero de </w:t>
      </w:r>
      <w:r w:rsidRPr="000F752F">
        <w:rPr>
          <w:rFonts w:ascii="Arial" w:eastAsia="MS Mincho" w:hAnsi="Arial" w:cs="Arial"/>
          <w:sz w:val="22"/>
          <w:szCs w:val="22"/>
          <w:lang w:val="es-MX" w:eastAsia="en-US"/>
        </w:rPr>
        <w:lastRenderedPageBreak/>
        <w:t>$297,690.00 millones de pesos, mientras que en el sector manufacturero fue registrado un total de $60</w:t>
      </w:r>
      <w:proofErr w:type="gramStart"/>
      <w:r w:rsidRPr="000F752F">
        <w:rPr>
          <w:rFonts w:ascii="Arial" w:eastAsia="MS Mincho" w:hAnsi="Arial" w:cs="Arial"/>
          <w:sz w:val="22"/>
          <w:szCs w:val="22"/>
          <w:lang w:val="es-MX" w:eastAsia="en-US"/>
        </w:rPr>
        <w:t>,178,965.00</w:t>
      </w:r>
      <w:proofErr w:type="gramEnd"/>
      <w:r w:rsidRPr="000F752F">
        <w:rPr>
          <w:rFonts w:ascii="Arial" w:eastAsia="MS Mincho" w:hAnsi="Arial" w:cs="Arial"/>
          <w:sz w:val="22"/>
          <w:szCs w:val="22"/>
          <w:lang w:val="es-MX" w:eastAsia="en-US"/>
        </w:rPr>
        <w:t xml:space="preserve"> millones de pesos.</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En el municipio de Monterrey, las actividades terciarias son las más comunes; entre ellas se encuentran actividades de comercio y de servicios. Según el banco de información del INEGI (</w:t>
      </w:r>
      <w:proofErr w:type="spellStart"/>
      <w:r w:rsidRPr="000F752F">
        <w:rPr>
          <w:rFonts w:ascii="Arial" w:eastAsia="MS Mincho" w:hAnsi="Arial" w:cs="Arial"/>
          <w:sz w:val="22"/>
          <w:szCs w:val="22"/>
          <w:lang w:val="es-MX" w:eastAsia="en-US"/>
        </w:rPr>
        <w:t>s.f.c</w:t>
      </w:r>
      <w:proofErr w:type="spellEnd"/>
      <w:r w:rsidRPr="000F752F">
        <w:rPr>
          <w:rFonts w:ascii="Arial" w:eastAsia="MS Mincho" w:hAnsi="Arial" w:cs="Arial"/>
          <w:sz w:val="22"/>
          <w:szCs w:val="22"/>
          <w:lang w:val="es-MX" w:eastAsia="en-US"/>
        </w:rPr>
        <w:t>), en el 2008 en Monterrey se localizan 21,3750 unidades económicas que ofrecen servicios privados no financieros. Además, ese mismo año, se registró un total de ingresos por suministro de bienes y servicios en el sector comercio de $138</w:t>
      </w:r>
      <w:proofErr w:type="gramStart"/>
      <w:r w:rsidRPr="000F752F">
        <w:rPr>
          <w:rFonts w:ascii="Arial" w:eastAsia="MS Mincho" w:hAnsi="Arial" w:cs="Arial"/>
          <w:sz w:val="22"/>
          <w:szCs w:val="22"/>
          <w:lang w:val="es-MX" w:eastAsia="en-US"/>
        </w:rPr>
        <w:t>,643,961</w:t>
      </w:r>
      <w:proofErr w:type="gramEnd"/>
      <w:r w:rsidRPr="000F752F">
        <w:rPr>
          <w:rFonts w:ascii="Arial" w:eastAsia="MS Mincho" w:hAnsi="Arial" w:cs="Arial"/>
          <w:sz w:val="22"/>
          <w:szCs w:val="22"/>
          <w:lang w:val="es-MX" w:eastAsia="en-US"/>
        </w:rPr>
        <w:t xml:space="preserve"> miles de pesos.</w:t>
      </w:r>
    </w:p>
    <w:p w:rsidR="0022687E" w:rsidRPr="0022687E" w:rsidRDefault="0022687E" w:rsidP="0022687E">
      <w:pPr>
        <w:keepNext/>
        <w:widowControl w:val="0"/>
        <w:autoSpaceDE w:val="0"/>
        <w:autoSpaceDN w:val="0"/>
        <w:adjustRightInd w:val="0"/>
        <w:spacing w:after="240" w:line="360" w:lineRule="auto"/>
        <w:jc w:val="center"/>
        <w:rPr>
          <w:rFonts w:ascii="Cambria" w:eastAsia="MS Mincho" w:hAnsi="Cambria"/>
          <w:lang w:val="es-ES_tradnl" w:eastAsia="ja-JP"/>
        </w:rPr>
      </w:pPr>
      <w:r w:rsidRPr="0022687E">
        <w:rPr>
          <w:rFonts w:ascii="Arial" w:eastAsia="MS Mincho" w:hAnsi="Arial" w:cs="Arial"/>
          <w:noProof/>
          <w:lang w:val="es-MX" w:eastAsia="es-MX"/>
        </w:rPr>
        <w:lastRenderedPageBreak/>
        <w:drawing>
          <wp:inline distT="0" distB="0" distL="0" distR="0" wp14:anchorId="238F5AA8" wp14:editId="4D959A00">
            <wp:extent cx="5288915" cy="5895881"/>
            <wp:effectExtent l="25400" t="25400" r="19685" b="22860"/>
            <wp:docPr id="70" name="Imagen 70" descr="Macintosh HD:Users:aissazamarripa:Desktop:Screen Shot 2015-12-28 at 14.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issazamarripa:Desktop:Screen Shot 2015-12-28 at 14.16.03.pn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88915" cy="5895881"/>
                    </a:xfrm>
                    <a:prstGeom prst="rect">
                      <a:avLst/>
                    </a:prstGeom>
                    <a:noFill/>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sz w:val="18"/>
          <w:szCs w:val="18"/>
          <w:lang w:val="es-ES_tradnl" w:eastAsia="en-US"/>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2</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Mapa de la superficie de unidades de producción con actividad agropecuaria o forestal por municipio del estado de Nuevo León. Fuente: </w:t>
      </w:r>
      <w:r w:rsidRPr="0022687E">
        <w:rPr>
          <w:rFonts w:ascii="Arial" w:eastAsia="Cambria" w:hAnsi="Arial" w:cs="Arial"/>
          <w:i/>
          <w:iCs/>
          <w:color w:val="1F497D"/>
          <w:sz w:val="18"/>
          <w:szCs w:val="18"/>
          <w:lang w:val="es-ES_tradnl" w:eastAsia="en-US"/>
        </w:rPr>
        <w:t>INEGI, 2012.</w:t>
      </w:r>
    </w:p>
    <w:p w:rsidR="0022687E" w:rsidRPr="000F752F" w:rsidRDefault="0022687E" w:rsidP="0022687E">
      <w:pPr>
        <w:spacing w:before="100" w:beforeAutospacing="1" w:after="100" w:afterAutospacing="1" w:line="360" w:lineRule="auto"/>
        <w:jc w:val="both"/>
        <w:rPr>
          <w:rFonts w:ascii="Arial" w:eastAsia="MS Mincho" w:hAnsi="Arial" w:cs="Arial"/>
          <w:i/>
          <w:sz w:val="22"/>
          <w:szCs w:val="22"/>
          <w:lang w:val="es-MX" w:eastAsia="en-US"/>
        </w:rPr>
      </w:pPr>
      <w:r w:rsidRPr="000F752F">
        <w:rPr>
          <w:rFonts w:ascii="Arial" w:eastAsia="MS Mincho" w:hAnsi="Arial" w:cs="Arial"/>
          <w:sz w:val="22"/>
          <w:szCs w:val="22"/>
          <w:lang w:val="es-MX" w:eastAsia="en-US"/>
        </w:rPr>
        <w:t xml:space="preserve">De conformidad con el INEGI (2013), la estructura de la población ocupada por sector de actividad en la ciudad de Monterrey es del 68.8% para actividades terciarias, </w:t>
      </w:r>
      <w:r w:rsidRPr="000F752F">
        <w:rPr>
          <w:rFonts w:ascii="Arial" w:eastAsia="MS Mincho" w:hAnsi="Arial" w:cs="Arial"/>
          <w:sz w:val="22"/>
          <w:szCs w:val="22"/>
          <w:lang w:val="es-MX" w:eastAsia="en-US"/>
        </w:rPr>
        <w:lastRenderedPageBreak/>
        <w:t xml:space="preserve">mientras que en el caso de las actividades primarias el porcentaje es de 0.2% y el de las actividades secundarias de 30.6%, tal como se exhibe en la </w:t>
      </w:r>
      <w:r w:rsidRPr="000F752F">
        <w:rPr>
          <w:rFonts w:ascii="Arial" w:eastAsia="MS Mincho" w:hAnsi="Arial" w:cs="Arial"/>
          <w:i/>
          <w:sz w:val="22"/>
          <w:szCs w:val="22"/>
          <w:lang w:val="es-MX" w:eastAsia="en-US"/>
        </w:rPr>
        <w:t>Ilustración 3.</w:t>
      </w:r>
    </w:p>
    <w:p w:rsidR="0022687E" w:rsidRPr="0022687E" w:rsidRDefault="0022687E" w:rsidP="0022687E">
      <w:pPr>
        <w:keepNext/>
        <w:spacing w:before="100" w:beforeAutospacing="1" w:after="100" w:afterAutospacing="1" w:line="360" w:lineRule="auto"/>
        <w:jc w:val="center"/>
        <w:rPr>
          <w:rFonts w:ascii="Times" w:eastAsia="MS Mincho" w:hAnsi="Times"/>
          <w:sz w:val="20"/>
          <w:szCs w:val="20"/>
          <w:lang w:val="es-ES_tradnl"/>
        </w:rPr>
      </w:pPr>
      <w:r w:rsidRPr="0022687E">
        <w:rPr>
          <w:rFonts w:ascii="Arial" w:eastAsia="MS Mincho" w:hAnsi="Arial" w:cs="Arial"/>
          <w:noProof/>
          <w:lang w:val="es-MX" w:eastAsia="es-MX"/>
        </w:rPr>
        <w:drawing>
          <wp:inline distT="0" distB="0" distL="0" distR="0" wp14:anchorId="7D7A3999" wp14:editId="55009BE4">
            <wp:extent cx="5379113" cy="3293794"/>
            <wp:effectExtent l="25400" t="25400" r="31115" b="33655"/>
            <wp:docPr id="71" name="Imagen 71" descr="Macintosh HD:Users:aissazamarripa:Desktop:Screen Shot 2015-12-28 at 14.0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issazamarripa:Desktop:Screen Shot 2015-12-28 at 14.05.2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5305" cy="3303709"/>
                    </a:xfrm>
                    <a:prstGeom prst="rect">
                      <a:avLst/>
                    </a:prstGeom>
                    <a:noFill/>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lang w:val="es-MX" w:eastAsia="en-US"/>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3</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Estructura de la población ocupada según sector de la actividad. Fuente: INEGI, 2013.</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En relación con lo anterior, </w:t>
      </w:r>
      <w:proofErr w:type="spellStart"/>
      <w:r w:rsidRPr="000F752F">
        <w:rPr>
          <w:rFonts w:ascii="Arial" w:eastAsia="MS Mincho" w:hAnsi="Arial" w:cs="Arial"/>
          <w:i/>
          <w:sz w:val="22"/>
          <w:szCs w:val="22"/>
          <w:lang w:val="es-MX" w:eastAsia="en-US"/>
        </w:rPr>
        <w:t>Doing</w:t>
      </w:r>
      <w:proofErr w:type="spellEnd"/>
      <w:r w:rsidRPr="000F752F">
        <w:rPr>
          <w:rFonts w:ascii="Arial" w:eastAsia="MS Mincho" w:hAnsi="Arial" w:cs="Arial"/>
          <w:i/>
          <w:sz w:val="22"/>
          <w:szCs w:val="22"/>
          <w:lang w:val="es-MX" w:eastAsia="en-US"/>
        </w:rPr>
        <w:t xml:space="preserve"> Business </w:t>
      </w:r>
      <w:r w:rsidRPr="000F752F">
        <w:rPr>
          <w:rFonts w:ascii="Arial" w:eastAsia="MS Mincho" w:hAnsi="Arial" w:cs="Arial"/>
          <w:sz w:val="22"/>
          <w:szCs w:val="22"/>
          <w:lang w:val="es-MX" w:eastAsia="en-US"/>
        </w:rPr>
        <w:t xml:space="preserve">(2014), proyecto del Banco Mundial, determinó que, en 2014, Monterrey ocupó el lugar 16º entre otras 32 ciudades del país en cuanto a la </w:t>
      </w:r>
      <w:r w:rsidRPr="000F752F">
        <w:rPr>
          <w:rFonts w:ascii="Arial" w:eastAsia="MS Mincho" w:hAnsi="Arial" w:cs="Arial"/>
          <w:i/>
          <w:sz w:val="22"/>
          <w:szCs w:val="22"/>
          <w:lang w:val="es-MX" w:eastAsia="en-US"/>
        </w:rPr>
        <w:t>facilidad para hacer negocios</w:t>
      </w:r>
      <w:r w:rsidRPr="000F752F">
        <w:rPr>
          <w:rFonts w:ascii="Arial" w:eastAsia="MS Mincho" w:hAnsi="Arial" w:cs="Arial"/>
          <w:sz w:val="22"/>
          <w:szCs w:val="22"/>
          <w:lang w:val="es-MX" w:eastAsia="en-US"/>
        </w:rPr>
        <w:t>, misma que se evalúa analizando la apertura de una empresa, manejo de permisos de construcción, registro de propiedades y cumplimiento de contratos</w:t>
      </w:r>
      <w:r w:rsidRPr="000F752F">
        <w:rPr>
          <w:rFonts w:ascii="Arial" w:eastAsia="MS Mincho" w:hAnsi="Arial" w:cs="Arial"/>
          <w:sz w:val="22"/>
          <w:szCs w:val="22"/>
          <w:vertAlign w:val="superscript"/>
          <w:lang w:val="es-MX" w:eastAsia="en-US"/>
        </w:rPr>
        <w:footnoteReference w:id="3"/>
      </w:r>
      <w:r w:rsidRPr="000F752F">
        <w:rPr>
          <w:rFonts w:ascii="Arial" w:eastAsia="MS Mincho" w:hAnsi="Arial" w:cs="Arial"/>
          <w:sz w:val="22"/>
          <w:szCs w:val="22"/>
          <w:lang w:val="es-MX" w:eastAsia="en-US"/>
        </w:rPr>
        <w:t>.</w:t>
      </w:r>
    </w:p>
    <w:p w:rsidR="0022687E" w:rsidRPr="0022687E" w:rsidRDefault="0022687E" w:rsidP="0022687E">
      <w:pPr>
        <w:keepNext/>
        <w:spacing w:before="100" w:beforeAutospacing="1" w:after="100" w:afterAutospacing="1" w:line="360" w:lineRule="auto"/>
        <w:jc w:val="both"/>
        <w:rPr>
          <w:rFonts w:ascii="Times" w:eastAsia="MS Mincho" w:hAnsi="Times"/>
          <w:sz w:val="20"/>
          <w:szCs w:val="20"/>
          <w:lang w:val="es-ES_tradnl"/>
        </w:rPr>
      </w:pPr>
      <w:r w:rsidRPr="0022687E">
        <w:rPr>
          <w:rFonts w:ascii="Times" w:eastAsia="MS Mincho" w:hAnsi="Times"/>
          <w:noProof/>
          <w:sz w:val="20"/>
          <w:szCs w:val="20"/>
          <w:lang w:val="es-MX" w:eastAsia="es-MX"/>
        </w:rPr>
        <w:lastRenderedPageBreak/>
        <w:drawing>
          <wp:inline distT="0" distB="0" distL="0" distR="0" wp14:anchorId="35FD1110" wp14:editId="488472A5">
            <wp:extent cx="5396230" cy="1413531"/>
            <wp:effectExtent l="25400" t="25400" r="13970" b="3429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96230" cy="1413531"/>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sz w:val="18"/>
          <w:szCs w:val="18"/>
          <w:lang w:val="es-MX" w:eastAsia="en-US"/>
        </w:rPr>
      </w:pPr>
      <w:r w:rsidRPr="0022687E">
        <w:rPr>
          <w:rFonts w:ascii="Cambria" w:eastAsia="Cambria" w:hAnsi="Cambria"/>
          <w:i/>
          <w:iCs/>
          <w:color w:val="1F497D"/>
          <w:sz w:val="18"/>
          <w:szCs w:val="18"/>
          <w:lang w:val="es-MX" w:eastAsia="en-US"/>
        </w:rPr>
        <w:t>Il</w:t>
      </w:r>
      <w:r w:rsidRPr="0022687E">
        <w:rPr>
          <w:rFonts w:ascii="Arial" w:eastAsia="Cambria" w:hAnsi="Arial" w:cs="Arial"/>
          <w:i/>
          <w:iCs/>
          <w:color w:val="1F497D"/>
          <w:sz w:val="18"/>
          <w:szCs w:val="18"/>
          <w:lang w:val="es-MX" w:eastAsia="en-US"/>
        </w:rPr>
        <w:t xml:space="preserve">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4</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Indicadores de Monterrey en cuanto a la facilidad para hacer negocios. Fuente: </w:t>
      </w:r>
      <w:proofErr w:type="spellStart"/>
      <w:r w:rsidRPr="0022687E">
        <w:rPr>
          <w:rFonts w:ascii="Arial" w:eastAsia="Cambria" w:hAnsi="Arial" w:cs="Arial"/>
          <w:i/>
          <w:iCs/>
          <w:color w:val="1F497D"/>
          <w:sz w:val="18"/>
          <w:szCs w:val="18"/>
          <w:lang w:val="es-MX" w:eastAsia="en-US"/>
        </w:rPr>
        <w:t>Doing</w:t>
      </w:r>
      <w:proofErr w:type="spellEnd"/>
      <w:r w:rsidRPr="0022687E">
        <w:rPr>
          <w:rFonts w:ascii="Arial" w:eastAsia="Cambria" w:hAnsi="Arial" w:cs="Arial"/>
          <w:i/>
          <w:iCs/>
          <w:color w:val="1F497D"/>
          <w:sz w:val="18"/>
          <w:szCs w:val="18"/>
          <w:lang w:val="es-MX" w:eastAsia="en-US"/>
        </w:rPr>
        <w:t xml:space="preserve"> </w:t>
      </w:r>
      <w:proofErr w:type="spellStart"/>
      <w:r w:rsidRPr="0022687E">
        <w:rPr>
          <w:rFonts w:ascii="Arial" w:eastAsia="Cambria" w:hAnsi="Arial" w:cs="Arial"/>
          <w:i/>
          <w:iCs/>
          <w:color w:val="1F497D"/>
          <w:sz w:val="18"/>
          <w:szCs w:val="18"/>
          <w:lang w:val="es-MX" w:eastAsia="en-US"/>
        </w:rPr>
        <w:t>Bussiness</w:t>
      </w:r>
      <w:proofErr w:type="spellEnd"/>
      <w:r w:rsidRPr="0022687E">
        <w:rPr>
          <w:rFonts w:ascii="Arial" w:eastAsia="Cambria" w:hAnsi="Arial" w:cs="Arial"/>
          <w:i/>
          <w:iCs/>
          <w:color w:val="1F497D"/>
          <w:sz w:val="18"/>
          <w:szCs w:val="18"/>
          <w:lang w:val="es-MX" w:eastAsia="en-US"/>
        </w:rPr>
        <w:t>, 2014.</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La </w:t>
      </w:r>
      <w:r w:rsidRPr="000F752F">
        <w:rPr>
          <w:rFonts w:ascii="Arial" w:eastAsia="MS Mincho" w:hAnsi="Arial" w:cs="Arial"/>
          <w:i/>
          <w:sz w:val="22"/>
          <w:szCs w:val="22"/>
          <w:lang w:val="es-MX" w:eastAsia="en-US"/>
        </w:rPr>
        <w:t>Ilustración 5</w:t>
      </w:r>
      <w:r w:rsidRPr="000F752F">
        <w:rPr>
          <w:rFonts w:ascii="Arial" w:eastAsia="MS Mincho" w:hAnsi="Arial" w:cs="Arial"/>
          <w:sz w:val="22"/>
          <w:szCs w:val="22"/>
          <w:lang w:val="es-MX" w:eastAsia="en-US"/>
        </w:rPr>
        <w:t xml:space="preserve"> muestra los lugares que ocupa el municipio en cada uno de esos rubros:</w:t>
      </w:r>
    </w:p>
    <w:p w:rsidR="0022687E" w:rsidRPr="0022687E" w:rsidRDefault="0022687E" w:rsidP="0022687E">
      <w:pPr>
        <w:keepNext/>
        <w:spacing w:before="100" w:beforeAutospacing="1" w:after="100" w:afterAutospacing="1" w:line="360" w:lineRule="auto"/>
        <w:jc w:val="both"/>
        <w:rPr>
          <w:rFonts w:ascii="Times" w:eastAsia="MS Mincho" w:hAnsi="Times"/>
          <w:sz w:val="20"/>
          <w:szCs w:val="20"/>
          <w:lang w:val="es-ES_tradnl"/>
        </w:rPr>
      </w:pPr>
      <w:r w:rsidRPr="0022687E">
        <w:rPr>
          <w:rFonts w:ascii="Arial" w:eastAsia="MS Mincho" w:hAnsi="Arial" w:cs="Arial"/>
          <w:noProof/>
          <w:lang w:val="es-MX" w:eastAsia="es-MX"/>
        </w:rPr>
        <w:drawing>
          <wp:inline distT="0" distB="0" distL="0" distR="0" wp14:anchorId="3ECB818F" wp14:editId="20361821">
            <wp:extent cx="5396230" cy="1282700"/>
            <wp:effectExtent l="25400" t="25400" r="13970" b="3810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6230" cy="1282700"/>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Ilustración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Ilustración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5</w:t>
      </w:r>
      <w:r w:rsidRPr="0022687E">
        <w:rPr>
          <w:rFonts w:ascii="Cambria" w:eastAsia="Cambria" w:hAnsi="Cambria"/>
          <w:i/>
          <w:iCs/>
          <w:color w:val="1F497D"/>
          <w:sz w:val="18"/>
          <w:szCs w:val="18"/>
          <w:lang w:val="es-MX" w:eastAsia="en-US"/>
        </w:rPr>
        <w:fldChar w:fldCharType="end"/>
      </w:r>
      <w:r w:rsidRPr="0022687E">
        <w:rPr>
          <w:rFonts w:ascii="Cambria" w:eastAsia="Cambria" w:hAnsi="Cambria"/>
          <w:i/>
          <w:iCs/>
          <w:color w:val="1F497D"/>
          <w:sz w:val="18"/>
          <w:szCs w:val="18"/>
          <w:lang w:val="es-MX" w:eastAsia="en-US"/>
        </w:rPr>
        <w:t xml:space="preserve"> Indicadores de Monterrey en cuanto a la facilidad para hacer negocios y su clasificación entre 32 ciudades en México,  según estudio </w:t>
      </w:r>
      <w:proofErr w:type="spellStart"/>
      <w:r w:rsidRPr="0022687E">
        <w:rPr>
          <w:rFonts w:ascii="Cambria" w:eastAsia="Cambria" w:hAnsi="Cambria"/>
          <w:i/>
          <w:iCs/>
          <w:color w:val="1F497D"/>
          <w:sz w:val="18"/>
          <w:szCs w:val="18"/>
          <w:lang w:val="es-MX" w:eastAsia="en-US"/>
        </w:rPr>
        <w:t>Doing</w:t>
      </w:r>
      <w:proofErr w:type="spellEnd"/>
      <w:r w:rsidRPr="0022687E">
        <w:rPr>
          <w:rFonts w:ascii="Cambria" w:eastAsia="Cambria" w:hAnsi="Cambria"/>
          <w:i/>
          <w:iCs/>
          <w:color w:val="1F497D"/>
          <w:sz w:val="18"/>
          <w:szCs w:val="18"/>
          <w:lang w:val="es-MX" w:eastAsia="en-US"/>
        </w:rPr>
        <w:t xml:space="preserve"> </w:t>
      </w:r>
      <w:proofErr w:type="spellStart"/>
      <w:r w:rsidRPr="0022687E">
        <w:rPr>
          <w:rFonts w:ascii="Cambria" w:eastAsia="Cambria" w:hAnsi="Cambria"/>
          <w:i/>
          <w:iCs/>
          <w:color w:val="1F497D"/>
          <w:sz w:val="18"/>
          <w:szCs w:val="18"/>
          <w:lang w:val="es-MX" w:eastAsia="en-US"/>
        </w:rPr>
        <w:t>Bussiness</w:t>
      </w:r>
      <w:proofErr w:type="spellEnd"/>
      <w:r w:rsidRPr="0022687E">
        <w:rPr>
          <w:rFonts w:ascii="Cambria" w:eastAsia="Cambria" w:hAnsi="Cambria"/>
          <w:i/>
          <w:iCs/>
          <w:color w:val="1F497D"/>
          <w:sz w:val="18"/>
          <w:szCs w:val="18"/>
          <w:lang w:val="es-MX" w:eastAsia="en-US"/>
        </w:rPr>
        <w:t xml:space="preserve"> de 2014. Fuente: Banco Mundial, s.f.</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Esta clasificación coloca a Monterrey en una categoría aceptable pero no óptima para realizar negocios, mientras que ciudades como Colima, Aguascalientes, Guanajuato y San Luis Potosí ocupan los primeros lugares del país desde 2012.</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Sin embargo, en 2016 se determinó que en el caso de Monterrey, la puntuación del indicador económico </w:t>
      </w:r>
      <w:r w:rsidRPr="000F752F">
        <w:rPr>
          <w:rFonts w:ascii="Arial" w:eastAsia="MS Mincho" w:hAnsi="Arial" w:cs="Arial"/>
          <w:i/>
          <w:sz w:val="22"/>
          <w:szCs w:val="22"/>
          <w:lang w:val="es-MX" w:eastAsia="en-US"/>
        </w:rPr>
        <w:t>distancia a la frontera</w:t>
      </w:r>
      <w:r w:rsidRPr="000F752F">
        <w:rPr>
          <w:rFonts w:ascii="Arial" w:eastAsia="MS Mincho" w:hAnsi="Arial" w:cs="Arial"/>
          <w:sz w:val="22"/>
          <w:szCs w:val="22"/>
          <w:lang w:val="es-MX" w:eastAsia="en-US"/>
        </w:rPr>
        <w:t xml:space="preserve"> -mismo que se muestra en una escala del </w:t>
      </w:r>
      <w:r w:rsidRPr="000F752F">
        <w:rPr>
          <w:rFonts w:ascii="Arial" w:eastAsia="MS Mincho" w:hAnsi="Arial" w:cs="Arial"/>
          <w:sz w:val="22"/>
          <w:szCs w:val="22"/>
          <w:lang w:val="es-MX" w:eastAsia="en-US"/>
        </w:rPr>
        <w:lastRenderedPageBreak/>
        <w:t>0 al 100- es de 89.32, en 2016; posicionándose a sólo diez puntos abajo de Nueva Zelanda, país que obtuvo la mejor puntuación equivalente a 99.96 (</w:t>
      </w:r>
      <w:proofErr w:type="spellStart"/>
      <w:r w:rsidRPr="000F752F">
        <w:rPr>
          <w:rFonts w:ascii="Arial" w:eastAsia="MS Mincho" w:hAnsi="Arial" w:cs="Arial"/>
          <w:sz w:val="22"/>
          <w:szCs w:val="22"/>
          <w:lang w:val="es-MX" w:eastAsia="en-US"/>
        </w:rPr>
        <w:t>Doing</w:t>
      </w:r>
      <w:proofErr w:type="spellEnd"/>
      <w:r w:rsidRPr="000F752F">
        <w:rPr>
          <w:rFonts w:ascii="Arial" w:eastAsia="MS Mincho" w:hAnsi="Arial" w:cs="Arial"/>
          <w:sz w:val="22"/>
          <w:szCs w:val="22"/>
          <w:lang w:val="es-MX" w:eastAsia="en-US"/>
        </w:rPr>
        <w:t xml:space="preserve"> </w:t>
      </w:r>
      <w:proofErr w:type="spellStart"/>
      <w:r w:rsidRPr="000F752F">
        <w:rPr>
          <w:rFonts w:ascii="Arial" w:eastAsia="MS Mincho" w:hAnsi="Arial" w:cs="Arial"/>
          <w:sz w:val="22"/>
          <w:szCs w:val="22"/>
          <w:lang w:val="es-MX" w:eastAsia="en-US"/>
        </w:rPr>
        <w:t>Bussiness</w:t>
      </w:r>
      <w:proofErr w:type="spellEnd"/>
      <w:r w:rsidRPr="000F752F">
        <w:rPr>
          <w:rFonts w:ascii="Arial" w:eastAsia="MS Mincho" w:hAnsi="Arial" w:cs="Arial"/>
          <w:sz w:val="22"/>
          <w:szCs w:val="22"/>
          <w:lang w:val="es-MX" w:eastAsia="en-US"/>
        </w:rPr>
        <w:t>, 2016).</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Lo anterior, toda vez que se estimó que para iniciar un negocio en Monterrey se requiere un total de 6 procedimientos que se realizan aproximadamente en 8 días; el costo en porcentaje de los ingresos </w:t>
      </w:r>
      <w:r w:rsidRPr="000F752F">
        <w:rPr>
          <w:rFonts w:ascii="Arial" w:eastAsia="MS Mincho" w:hAnsi="Arial" w:cs="Arial"/>
          <w:i/>
          <w:sz w:val="22"/>
          <w:szCs w:val="22"/>
          <w:lang w:val="es-MX" w:eastAsia="en-US"/>
        </w:rPr>
        <w:t>per cápita</w:t>
      </w:r>
      <w:r w:rsidRPr="000F752F">
        <w:rPr>
          <w:rFonts w:ascii="Arial" w:eastAsia="MS Mincho" w:hAnsi="Arial" w:cs="Arial"/>
          <w:sz w:val="22"/>
          <w:szCs w:val="22"/>
          <w:lang w:val="es-MX" w:eastAsia="en-US"/>
        </w:rPr>
        <w:t xml:space="preserve"> de la economía es de 11.6, y el pago mínimo de capital requerido en dicho porcentaje es de 0.0.</w:t>
      </w:r>
    </w:p>
    <w:p w:rsidR="0022687E" w:rsidRPr="0022687E" w:rsidRDefault="0022687E" w:rsidP="0022687E">
      <w:pPr>
        <w:keepNext/>
        <w:spacing w:before="100" w:beforeAutospacing="1" w:after="100" w:afterAutospacing="1" w:line="360" w:lineRule="auto"/>
        <w:jc w:val="both"/>
        <w:rPr>
          <w:rFonts w:ascii="Times" w:eastAsia="MS Mincho" w:hAnsi="Times"/>
          <w:sz w:val="20"/>
          <w:szCs w:val="20"/>
          <w:lang w:val="es-ES_tradnl"/>
        </w:rPr>
      </w:pPr>
      <w:r w:rsidRPr="0022687E">
        <w:rPr>
          <w:rFonts w:ascii="Arial" w:eastAsia="MS Mincho" w:hAnsi="Arial" w:cs="Arial"/>
          <w:noProof/>
          <w:lang w:val="es-MX" w:eastAsia="es-MX"/>
        </w:rPr>
        <w:drawing>
          <wp:inline distT="0" distB="0" distL="0" distR="0" wp14:anchorId="233FE5DF" wp14:editId="65625FF8">
            <wp:extent cx="5396230" cy="984885"/>
            <wp:effectExtent l="25400" t="25400" r="13970" b="311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6230" cy="984885"/>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Ilustración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Ilustración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6</w:t>
      </w:r>
      <w:r w:rsidRPr="0022687E">
        <w:rPr>
          <w:rFonts w:ascii="Cambria" w:eastAsia="Cambria" w:hAnsi="Cambria"/>
          <w:i/>
          <w:iCs/>
          <w:color w:val="1F497D"/>
          <w:sz w:val="18"/>
          <w:szCs w:val="18"/>
          <w:lang w:val="es-MX" w:eastAsia="en-US"/>
        </w:rPr>
        <w:fldChar w:fldCharType="end"/>
      </w:r>
      <w:r w:rsidRPr="0022687E">
        <w:rPr>
          <w:rFonts w:ascii="Cambria" w:eastAsia="Cambria" w:hAnsi="Cambria"/>
          <w:i/>
          <w:iCs/>
          <w:color w:val="1F497D"/>
          <w:sz w:val="18"/>
          <w:szCs w:val="18"/>
          <w:lang w:val="es-MX" w:eastAsia="en-US"/>
        </w:rPr>
        <w:t xml:space="preserve"> </w:t>
      </w:r>
      <w:r w:rsidRPr="0022687E">
        <w:rPr>
          <w:rFonts w:ascii="Arial" w:eastAsia="Cambria" w:hAnsi="Arial" w:cs="Arial"/>
          <w:i/>
          <w:iCs/>
          <w:color w:val="1F497D"/>
          <w:sz w:val="18"/>
          <w:szCs w:val="18"/>
          <w:lang w:val="es-MX" w:eastAsia="en-US"/>
        </w:rPr>
        <w:t xml:space="preserve">Apertura de una empresa en Monterrey. Fuente: </w:t>
      </w:r>
      <w:proofErr w:type="spellStart"/>
      <w:r w:rsidRPr="0022687E">
        <w:rPr>
          <w:rFonts w:ascii="Arial" w:eastAsia="Cambria" w:hAnsi="Arial" w:cs="Arial"/>
          <w:i/>
          <w:iCs/>
          <w:color w:val="1F497D"/>
          <w:sz w:val="18"/>
          <w:szCs w:val="18"/>
          <w:lang w:val="es-MX" w:eastAsia="en-US"/>
        </w:rPr>
        <w:t>Doing</w:t>
      </w:r>
      <w:proofErr w:type="spellEnd"/>
      <w:r w:rsidRPr="0022687E">
        <w:rPr>
          <w:rFonts w:ascii="Arial" w:eastAsia="Cambria" w:hAnsi="Arial" w:cs="Arial"/>
          <w:i/>
          <w:iCs/>
          <w:color w:val="1F497D"/>
          <w:sz w:val="18"/>
          <w:szCs w:val="18"/>
          <w:lang w:val="es-MX" w:eastAsia="en-US"/>
        </w:rPr>
        <w:t xml:space="preserve"> </w:t>
      </w:r>
      <w:proofErr w:type="spellStart"/>
      <w:r w:rsidRPr="0022687E">
        <w:rPr>
          <w:rFonts w:ascii="Arial" w:eastAsia="Cambria" w:hAnsi="Arial" w:cs="Arial"/>
          <w:i/>
          <w:iCs/>
          <w:color w:val="1F497D"/>
          <w:sz w:val="18"/>
          <w:szCs w:val="18"/>
          <w:lang w:val="es-MX" w:eastAsia="en-US"/>
        </w:rPr>
        <w:t>Bussiness</w:t>
      </w:r>
      <w:proofErr w:type="spellEnd"/>
      <w:r w:rsidRPr="0022687E">
        <w:rPr>
          <w:rFonts w:ascii="Arial" w:eastAsia="Cambria" w:hAnsi="Arial" w:cs="Arial"/>
          <w:i/>
          <w:iCs/>
          <w:color w:val="1F497D"/>
          <w:sz w:val="18"/>
          <w:szCs w:val="18"/>
          <w:lang w:val="es-MX" w:eastAsia="en-US"/>
        </w:rPr>
        <w:t>, 2016.</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Con base en la </w:t>
      </w:r>
      <w:r w:rsidRPr="000F752F">
        <w:rPr>
          <w:rFonts w:ascii="Arial" w:eastAsia="MS Mincho" w:hAnsi="Arial" w:cs="Arial"/>
          <w:i/>
          <w:sz w:val="22"/>
          <w:szCs w:val="22"/>
          <w:lang w:val="es-MX" w:eastAsia="en-US"/>
        </w:rPr>
        <w:t>Gráfica 1</w:t>
      </w:r>
      <w:r w:rsidRPr="000F752F">
        <w:rPr>
          <w:rFonts w:ascii="Arial" w:eastAsia="MS Mincho" w:hAnsi="Arial" w:cs="Arial"/>
          <w:sz w:val="22"/>
          <w:szCs w:val="22"/>
          <w:lang w:val="es-MX" w:eastAsia="en-US"/>
        </w:rPr>
        <w:t xml:space="preserve"> es posible advertir que en Monterrey es más simple y menos costoso iniciar un negocio en comparación de como resulta serlo en otras ciudades de América Latina y el Caribe, y, por lo tanto, deviene congruente que en Monterrey las actividades terciarias sean preponderantes.</w:t>
      </w:r>
    </w:p>
    <w:p w:rsidR="0022687E" w:rsidRPr="0022687E" w:rsidRDefault="0022687E" w:rsidP="0022687E">
      <w:pPr>
        <w:keepNext/>
        <w:spacing w:before="100" w:beforeAutospacing="1" w:after="100" w:afterAutospacing="1" w:line="360" w:lineRule="auto"/>
        <w:jc w:val="center"/>
        <w:rPr>
          <w:rFonts w:ascii="Times" w:eastAsia="MS Mincho" w:hAnsi="Times"/>
          <w:sz w:val="20"/>
          <w:szCs w:val="20"/>
          <w:lang w:val="es-ES_tradnl"/>
        </w:rPr>
      </w:pPr>
      <w:r w:rsidRPr="0022687E">
        <w:rPr>
          <w:rFonts w:ascii="Times" w:eastAsia="MS Mincho" w:hAnsi="Times"/>
          <w:noProof/>
          <w:sz w:val="20"/>
          <w:szCs w:val="20"/>
          <w:lang w:val="es-MX" w:eastAsia="es-MX"/>
        </w:rPr>
        <w:lastRenderedPageBreak/>
        <w:drawing>
          <wp:inline distT="0" distB="0" distL="0" distR="0" wp14:anchorId="0BEB93EE" wp14:editId="6796D724">
            <wp:extent cx="5148368" cy="3300095"/>
            <wp:effectExtent l="0" t="0" r="8255" b="1905"/>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2687E" w:rsidRPr="0022687E" w:rsidRDefault="0022687E" w:rsidP="0022687E">
      <w:pPr>
        <w:spacing w:after="200"/>
        <w:jc w:val="center"/>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Gráfica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Gráfica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1</w:t>
      </w:r>
      <w:r w:rsidRPr="0022687E">
        <w:rPr>
          <w:rFonts w:ascii="Cambria" w:eastAsia="Cambria" w:hAnsi="Cambria"/>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Indicadores para iniciar un negocio en Monterrey y en América Latina. Fuente: </w:t>
      </w:r>
      <w:proofErr w:type="spellStart"/>
      <w:r w:rsidRPr="0022687E">
        <w:rPr>
          <w:rFonts w:ascii="Arial" w:eastAsia="Cambria" w:hAnsi="Arial" w:cs="Arial"/>
          <w:i/>
          <w:iCs/>
          <w:color w:val="1F497D"/>
          <w:sz w:val="18"/>
          <w:szCs w:val="18"/>
          <w:lang w:val="es-MX" w:eastAsia="en-US"/>
        </w:rPr>
        <w:t>Doing</w:t>
      </w:r>
      <w:proofErr w:type="spellEnd"/>
      <w:r w:rsidRPr="0022687E">
        <w:rPr>
          <w:rFonts w:ascii="Arial" w:eastAsia="Cambria" w:hAnsi="Arial" w:cs="Arial"/>
          <w:i/>
          <w:iCs/>
          <w:color w:val="1F497D"/>
          <w:sz w:val="18"/>
          <w:szCs w:val="18"/>
          <w:lang w:val="es-MX" w:eastAsia="en-US"/>
        </w:rPr>
        <w:t xml:space="preserve"> </w:t>
      </w:r>
      <w:proofErr w:type="spellStart"/>
      <w:r w:rsidRPr="0022687E">
        <w:rPr>
          <w:rFonts w:ascii="Arial" w:eastAsia="Cambria" w:hAnsi="Arial" w:cs="Arial"/>
          <w:i/>
          <w:iCs/>
          <w:color w:val="1F497D"/>
          <w:sz w:val="18"/>
          <w:szCs w:val="18"/>
          <w:lang w:val="es-MX" w:eastAsia="en-US"/>
        </w:rPr>
        <w:t>Bussiness</w:t>
      </w:r>
      <w:proofErr w:type="spellEnd"/>
      <w:r w:rsidRPr="0022687E">
        <w:rPr>
          <w:rFonts w:ascii="Arial" w:eastAsia="Cambria" w:hAnsi="Arial" w:cs="Arial"/>
          <w:i/>
          <w:iCs/>
          <w:color w:val="1F497D"/>
          <w:sz w:val="18"/>
          <w:szCs w:val="18"/>
          <w:lang w:val="es-MX" w:eastAsia="en-US"/>
        </w:rPr>
        <w:t>, 2016.</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Hasta 2014, en Nuevo León laboraba un total de 1’399,230 personas con o sin remuneración, a quienes se les denomina </w:t>
      </w:r>
      <w:r w:rsidRPr="000F752F">
        <w:rPr>
          <w:rFonts w:ascii="Arial" w:eastAsia="MS Mincho" w:hAnsi="Arial" w:cs="Arial"/>
          <w:i/>
          <w:sz w:val="22"/>
          <w:szCs w:val="22"/>
          <w:lang w:val="es-MX" w:eastAsia="en-US"/>
        </w:rPr>
        <w:t>personal ocupado,</w:t>
      </w:r>
      <w:r w:rsidRPr="000F752F">
        <w:rPr>
          <w:rFonts w:ascii="Arial" w:eastAsia="MS Mincho" w:hAnsi="Arial" w:cs="Arial"/>
          <w:sz w:val="22"/>
          <w:szCs w:val="22"/>
          <w:lang w:val="es-MX" w:eastAsia="en-US"/>
        </w:rPr>
        <w:t xml:space="preserve"> y Monterrey es el municipio que cuenta con mayor participación de personal ocupado en actividades económicas como el comercio, servicios privados no financieros y otras actividades sin incluir la industria manufacturera (INEGI, 2011b).</w:t>
      </w:r>
    </w:p>
    <w:p w:rsidR="0022687E" w:rsidRPr="0022687E" w:rsidRDefault="0022687E" w:rsidP="0022687E">
      <w:pPr>
        <w:keepNext/>
        <w:spacing w:after="200"/>
        <w:rPr>
          <w:rFonts w:ascii="Cambria" w:eastAsia="MS Mincho" w:hAnsi="Cambria"/>
          <w:lang w:val="es-ES_tradnl" w:eastAsia="ja-JP"/>
        </w:rPr>
      </w:pPr>
      <w:r w:rsidRPr="0022687E">
        <w:rPr>
          <w:rFonts w:ascii="Arial" w:eastAsia="MS Mincho" w:hAnsi="Arial" w:cs="Arial"/>
          <w:noProof/>
          <w:lang w:val="es-MX" w:eastAsia="es-MX"/>
        </w:rPr>
        <w:lastRenderedPageBreak/>
        <w:drawing>
          <wp:inline distT="0" distB="0" distL="0" distR="0" wp14:anchorId="3C54154D" wp14:editId="00C20976">
            <wp:extent cx="5396230" cy="1863653"/>
            <wp:effectExtent l="25400" t="25400" r="13970" b="16510"/>
            <wp:docPr id="76" name="Imagen 76" descr="Macintosh HD:Users:aissazamarripa:Desktop:Screen Shot 2015-12-28 at 14.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issazamarripa:Desktop:Screen Shot 2015-12-28 at 14.28.41.pn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863653"/>
                    </a:xfrm>
                    <a:prstGeom prst="rect">
                      <a:avLst/>
                    </a:prstGeom>
                    <a:noFill/>
                    <a:ln>
                      <a:solidFill>
                        <a:sysClr val="windowText" lastClr="000000"/>
                      </a:solidFill>
                    </a:ln>
                  </pic:spPr>
                </pic:pic>
              </a:graphicData>
            </a:graphic>
          </wp:inline>
        </w:drawing>
      </w:r>
    </w:p>
    <w:p w:rsidR="0022687E" w:rsidRPr="0022687E" w:rsidRDefault="0022687E" w:rsidP="0022687E">
      <w:pPr>
        <w:spacing w:after="200"/>
        <w:jc w:val="both"/>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Ilustración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Ilustración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7</w:t>
      </w:r>
      <w:r w:rsidRPr="0022687E">
        <w:rPr>
          <w:rFonts w:ascii="Cambria" w:eastAsia="Cambria" w:hAnsi="Cambria"/>
          <w:i/>
          <w:iCs/>
          <w:color w:val="1F497D"/>
          <w:sz w:val="18"/>
          <w:szCs w:val="18"/>
          <w:lang w:val="es-MX" w:eastAsia="en-US"/>
        </w:rPr>
        <w:fldChar w:fldCharType="end"/>
      </w:r>
      <w:r w:rsidRPr="0022687E">
        <w:rPr>
          <w:rFonts w:ascii="Cambria" w:eastAsia="Cambria" w:hAnsi="Cambria"/>
          <w:i/>
          <w:iCs/>
          <w:color w:val="1F497D"/>
          <w:sz w:val="18"/>
          <w:szCs w:val="18"/>
          <w:lang w:val="es-MX" w:eastAsia="en-US"/>
        </w:rPr>
        <w:t xml:space="preserve"> </w:t>
      </w:r>
      <w:r w:rsidRPr="0022687E">
        <w:rPr>
          <w:rFonts w:ascii="Arial" w:eastAsia="Cambria" w:hAnsi="Arial" w:cs="Arial"/>
          <w:i/>
          <w:iCs/>
          <w:color w:val="1F497D"/>
          <w:sz w:val="18"/>
          <w:szCs w:val="18"/>
          <w:lang w:val="es-MX" w:eastAsia="en-US"/>
        </w:rPr>
        <w:t>Características económicas. Fuente: INEGI, 2011b.</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Según el Sistema Nacional de Información Municipal del INAFED (</w:t>
      </w:r>
      <w:proofErr w:type="spellStart"/>
      <w:r w:rsidRPr="000F752F">
        <w:rPr>
          <w:rFonts w:ascii="Arial" w:eastAsia="MS Mincho" w:hAnsi="Arial" w:cs="Arial"/>
          <w:sz w:val="22"/>
          <w:szCs w:val="22"/>
          <w:lang w:val="es-MX" w:eastAsia="en-US"/>
        </w:rPr>
        <w:t>s.f.b</w:t>
      </w:r>
      <w:proofErr w:type="spellEnd"/>
      <w:r w:rsidRPr="000F752F">
        <w:rPr>
          <w:rFonts w:ascii="Arial" w:eastAsia="MS Mincho" w:hAnsi="Arial" w:cs="Arial"/>
          <w:sz w:val="22"/>
          <w:szCs w:val="22"/>
          <w:lang w:val="es-MX" w:eastAsia="en-US"/>
        </w:rPr>
        <w:t>), la población económicamente activa (PEA) de Monterrey es de 488,181 personas, de las cuales 314,922 son hombres y 173,259 son mujeres. Ello situó a Monterrey como el décimo municipio con mayor cantidad de PEA del país en el 2010, pues –con base en dichas cifras- el 36% de la población del municipio era económicamente activa.</w:t>
      </w:r>
    </w:p>
    <w:p w:rsidR="0022687E" w:rsidRPr="000F752F" w:rsidRDefault="0022687E" w:rsidP="0022687E">
      <w:pPr>
        <w:spacing w:before="100" w:beforeAutospacing="1" w:after="100" w:afterAutospacing="1" w:line="360" w:lineRule="auto"/>
        <w:jc w:val="both"/>
        <w:rPr>
          <w:rFonts w:ascii="Arial" w:eastAsia="MS Mincho" w:hAnsi="Arial" w:cs="Arial"/>
          <w:color w:val="262626"/>
          <w:sz w:val="22"/>
          <w:szCs w:val="22"/>
        </w:rPr>
      </w:pPr>
      <w:r w:rsidRPr="000F752F">
        <w:rPr>
          <w:rFonts w:ascii="Arial" w:eastAsia="MS Mincho" w:hAnsi="Arial" w:cs="Arial"/>
          <w:sz w:val="22"/>
          <w:szCs w:val="22"/>
          <w:lang w:val="es-MX" w:eastAsia="en-US"/>
        </w:rPr>
        <w:t xml:space="preserve">Ahora, si bien Monterrey cuenta con un desarrollo económico elevado, no se observa lo mismo en relación con el desarrollo social. Al respecto, </w:t>
      </w:r>
      <w:r w:rsidRPr="000F752F">
        <w:rPr>
          <w:rFonts w:ascii="Arial" w:eastAsia="MS Mincho" w:hAnsi="Arial" w:cs="Arial"/>
          <w:color w:val="262626"/>
          <w:sz w:val="22"/>
          <w:szCs w:val="22"/>
        </w:rPr>
        <w:t xml:space="preserve">una forma de medir el desarrollo social de una sociedad es a través de indicadores de rezago social en torno a la educación, vivienda y servicios de salud. </w:t>
      </w:r>
    </w:p>
    <w:p w:rsidR="0022687E" w:rsidRPr="000F752F" w:rsidRDefault="0022687E" w:rsidP="0022687E">
      <w:pPr>
        <w:spacing w:before="100" w:beforeAutospacing="1" w:after="100" w:afterAutospacing="1" w:line="360" w:lineRule="auto"/>
        <w:jc w:val="both"/>
        <w:rPr>
          <w:rFonts w:ascii="Arial" w:eastAsia="MS Mincho" w:hAnsi="Arial" w:cs="Arial"/>
          <w:color w:val="262626"/>
          <w:sz w:val="22"/>
          <w:szCs w:val="22"/>
        </w:rPr>
      </w:pPr>
      <w:r w:rsidRPr="000F752F">
        <w:rPr>
          <w:rFonts w:ascii="Arial" w:eastAsia="MS Mincho" w:hAnsi="Arial" w:cs="Arial"/>
          <w:color w:val="262626"/>
          <w:sz w:val="22"/>
          <w:szCs w:val="22"/>
        </w:rPr>
        <w:t>Según información de la Secretaría de Desarrollo Social ([SEDESOL], 2014a), en el 2010 el municipio de Monterrey ocupó los primeros lugares en 4 de 7 indicadores de rezago social entre los municipios de Nuevo León.</w:t>
      </w:r>
    </w:p>
    <w:p w:rsidR="00EA7FDC" w:rsidRDefault="00EA7FDC" w:rsidP="0022687E">
      <w:pPr>
        <w:spacing w:before="100" w:beforeAutospacing="1" w:after="100" w:afterAutospacing="1" w:line="360" w:lineRule="auto"/>
        <w:jc w:val="both"/>
        <w:rPr>
          <w:rFonts w:ascii="Arial" w:eastAsia="MS Mincho" w:hAnsi="Arial" w:cs="Arial"/>
          <w:color w:val="262626"/>
        </w:rPr>
      </w:pPr>
    </w:p>
    <w:p w:rsidR="00EA7FDC" w:rsidRDefault="00EA7FDC" w:rsidP="0022687E">
      <w:pPr>
        <w:spacing w:before="100" w:beforeAutospacing="1" w:after="100" w:afterAutospacing="1" w:line="360" w:lineRule="auto"/>
        <w:jc w:val="both"/>
        <w:rPr>
          <w:rFonts w:ascii="Arial" w:eastAsia="MS Mincho" w:hAnsi="Arial" w:cs="Arial"/>
          <w:color w:val="262626"/>
        </w:rPr>
      </w:pPr>
    </w:p>
    <w:p w:rsidR="00EA7FDC" w:rsidRPr="0022687E" w:rsidRDefault="00EA7FDC" w:rsidP="0022687E">
      <w:pPr>
        <w:spacing w:before="100" w:beforeAutospacing="1" w:after="100" w:afterAutospacing="1" w:line="360" w:lineRule="auto"/>
        <w:jc w:val="both"/>
        <w:rPr>
          <w:rFonts w:ascii="Arial" w:eastAsia="MS Mincho" w:hAnsi="Arial" w:cs="Arial"/>
          <w:color w:val="262626"/>
        </w:rPr>
      </w:pPr>
    </w:p>
    <w:p w:rsidR="00AA1BF0" w:rsidRDefault="00EA7FDC" w:rsidP="00EA7FDC">
      <w:pPr>
        <w:keepNext/>
        <w:spacing w:before="100" w:beforeAutospacing="1" w:after="100" w:afterAutospacing="1" w:line="360" w:lineRule="auto"/>
        <w:rPr>
          <w:rFonts w:ascii="Arial" w:eastAsia="Cambria" w:hAnsi="Arial" w:cs="Arial"/>
          <w:i/>
          <w:iCs/>
          <w:color w:val="1F497D"/>
          <w:sz w:val="18"/>
          <w:szCs w:val="18"/>
          <w:lang w:val="es-MX" w:eastAsia="en-US"/>
        </w:rPr>
      </w:pPr>
      <w:r w:rsidRPr="0022687E">
        <w:rPr>
          <w:rFonts w:ascii="Arial" w:eastAsia="MS Mincho" w:hAnsi="Arial" w:cs="Arial"/>
          <w:noProof/>
          <w:color w:val="262626"/>
          <w:lang w:val="es-MX" w:eastAsia="es-MX"/>
        </w:rPr>
        <w:lastRenderedPageBreak/>
        <w:drawing>
          <wp:anchor distT="0" distB="0" distL="114300" distR="114300" simplePos="0" relativeHeight="251658240" behindDoc="1" locked="0" layoutInCell="1" allowOverlap="1" wp14:anchorId="1C5DFCB6" wp14:editId="5CB486A4">
            <wp:simplePos x="0" y="0"/>
            <wp:positionH relativeFrom="column">
              <wp:posOffset>1005840</wp:posOffset>
            </wp:positionH>
            <wp:positionV relativeFrom="paragraph">
              <wp:posOffset>27940</wp:posOffset>
            </wp:positionV>
            <wp:extent cx="3486150" cy="6600825"/>
            <wp:effectExtent l="19050" t="19050" r="19050"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502321" cy="6631443"/>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EA7FDC" w:rsidRDefault="00EA7FDC" w:rsidP="00EA7FDC">
      <w:pPr>
        <w:keepNext/>
        <w:spacing w:before="100" w:beforeAutospacing="1" w:after="100" w:afterAutospacing="1" w:line="360" w:lineRule="auto"/>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22687E" w:rsidRPr="0022687E" w:rsidRDefault="00AA1BF0" w:rsidP="0022687E">
      <w:pPr>
        <w:spacing w:after="200"/>
        <w:jc w:val="center"/>
        <w:rPr>
          <w:rFonts w:ascii="Arial" w:eastAsia="Cambria" w:hAnsi="Arial" w:cs="Arial"/>
          <w:i/>
          <w:iCs/>
          <w:lang w:val="es-MX" w:eastAsia="en-US"/>
        </w:rPr>
      </w:pPr>
      <w:r>
        <w:rPr>
          <w:rFonts w:ascii="Arial" w:eastAsia="Cambria" w:hAnsi="Arial" w:cs="Arial"/>
          <w:i/>
          <w:iCs/>
          <w:color w:val="1F497D"/>
          <w:sz w:val="18"/>
          <w:szCs w:val="18"/>
          <w:lang w:val="es-MX" w:eastAsia="en-US"/>
        </w:rPr>
        <w:t>I</w:t>
      </w:r>
      <w:r w:rsidR="0022687E" w:rsidRPr="0022687E">
        <w:rPr>
          <w:rFonts w:ascii="Arial" w:eastAsia="Cambria" w:hAnsi="Arial" w:cs="Arial"/>
          <w:i/>
          <w:iCs/>
          <w:color w:val="1F497D"/>
          <w:sz w:val="18"/>
          <w:szCs w:val="18"/>
          <w:lang w:val="es-MX" w:eastAsia="en-US"/>
        </w:rPr>
        <w:t xml:space="preserve">lustración </w:t>
      </w:r>
      <w:r w:rsidR="0022687E" w:rsidRPr="0022687E">
        <w:rPr>
          <w:rFonts w:ascii="Arial" w:eastAsia="Cambria" w:hAnsi="Arial" w:cs="Arial"/>
          <w:i/>
          <w:iCs/>
          <w:color w:val="1F497D"/>
          <w:sz w:val="18"/>
          <w:szCs w:val="18"/>
          <w:lang w:val="es-MX" w:eastAsia="en-US"/>
        </w:rPr>
        <w:fldChar w:fldCharType="begin"/>
      </w:r>
      <w:r w:rsidR="0022687E" w:rsidRPr="0022687E">
        <w:rPr>
          <w:rFonts w:ascii="Arial" w:eastAsia="Cambria" w:hAnsi="Arial" w:cs="Arial"/>
          <w:i/>
          <w:iCs/>
          <w:color w:val="1F497D"/>
          <w:sz w:val="18"/>
          <w:szCs w:val="18"/>
          <w:lang w:val="es-MX" w:eastAsia="en-US"/>
        </w:rPr>
        <w:instrText xml:space="preserve"> SEQ Ilustración \* ARABIC </w:instrText>
      </w:r>
      <w:r w:rsidR="0022687E"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8</w:t>
      </w:r>
      <w:r w:rsidR="0022687E" w:rsidRPr="0022687E">
        <w:rPr>
          <w:rFonts w:ascii="Arial" w:eastAsia="Cambria" w:hAnsi="Arial" w:cs="Arial"/>
          <w:i/>
          <w:iCs/>
          <w:color w:val="1F497D"/>
          <w:sz w:val="18"/>
          <w:szCs w:val="18"/>
          <w:lang w:val="es-MX" w:eastAsia="en-US"/>
        </w:rPr>
        <w:fldChar w:fldCharType="end"/>
      </w:r>
      <w:r w:rsidR="0022687E" w:rsidRPr="0022687E">
        <w:rPr>
          <w:rFonts w:ascii="Arial" w:eastAsia="Cambria" w:hAnsi="Arial" w:cs="Arial"/>
          <w:i/>
          <w:iCs/>
          <w:color w:val="1F497D"/>
          <w:sz w:val="18"/>
          <w:szCs w:val="18"/>
          <w:lang w:val="es-MX" w:eastAsia="en-US"/>
        </w:rPr>
        <w:t xml:space="preserve"> Indicadores de rezago social en municipios de Nuevo León. Fuente: SEDESOL, 2014a.</w:t>
      </w:r>
    </w:p>
    <w:p w:rsidR="0022687E" w:rsidRPr="000F752F" w:rsidRDefault="00AA1BF0" w:rsidP="00AA1BF0">
      <w:pPr>
        <w:spacing w:after="200" w:line="276" w:lineRule="auto"/>
        <w:jc w:val="both"/>
        <w:rPr>
          <w:rFonts w:ascii="Arial" w:eastAsia="MS Mincho" w:hAnsi="Arial" w:cs="Arial"/>
          <w:sz w:val="22"/>
          <w:szCs w:val="22"/>
          <w:lang w:val="es-ES_tradnl" w:eastAsia="es-MX"/>
        </w:rPr>
      </w:pPr>
      <w:r>
        <w:rPr>
          <w:rFonts w:ascii="Arial" w:eastAsia="MS Mincho" w:hAnsi="Arial" w:cs="Arial"/>
          <w:lang w:val="es-ES_tradnl" w:eastAsia="es-MX"/>
        </w:rPr>
        <w:br w:type="page"/>
      </w:r>
      <w:r w:rsidR="0022687E" w:rsidRPr="000F752F">
        <w:rPr>
          <w:rFonts w:ascii="Arial" w:eastAsia="MS Mincho" w:hAnsi="Arial" w:cs="Arial"/>
          <w:sz w:val="22"/>
          <w:szCs w:val="22"/>
          <w:lang w:val="es-ES_tradnl" w:eastAsia="es-MX"/>
        </w:rPr>
        <w:lastRenderedPageBreak/>
        <w:t>Así, de conformidad con el Informe Anual sobre la Situación de Pobreza y Rezago Social de la Secretaría de Prospectiva, Planeación y Evaluación de la SEDESOL, desde 2010 a la fecha, se considera que el grado de rezago social es bajo. Sin embargo, en 2010, los números ya eran preocupantes (SEDESOL, 2014b, 2015; CONEVAL, 2010)</w:t>
      </w:r>
      <w:r w:rsidR="0022687E" w:rsidRPr="000F752F">
        <w:rPr>
          <w:rFonts w:ascii="Arial" w:eastAsia="MS Mincho" w:hAnsi="Arial" w:cs="Arial"/>
          <w:sz w:val="22"/>
          <w:szCs w:val="22"/>
          <w:vertAlign w:val="superscript"/>
          <w:lang w:val="es-ES_tradnl" w:eastAsia="es-MX"/>
        </w:rPr>
        <w:footnoteReference w:id="4"/>
      </w:r>
      <w:r w:rsidR="0022687E" w:rsidRPr="000F752F">
        <w:rPr>
          <w:rFonts w:ascii="Arial" w:eastAsia="MS Mincho" w:hAnsi="Arial" w:cs="Arial"/>
          <w:sz w:val="22"/>
          <w:szCs w:val="22"/>
          <w:lang w:val="es-ES_tradnl" w:eastAsia="es-MX"/>
        </w:rPr>
        <w:t>:</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21.1% de la población (244,764 personas) se encontraban en pobreza, de los cuales el 19.2% (223,960 personas) presentaban pobreza moderada y el 1.8% (20,804 personas) presentaban pobreza extrema.</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16.3% (189,977 personas) no contaba con acceso a la alimentación, y de éstas casi el 10% (19,049 personas) se encontraba en situación de pobreza por ambos factores: pobreza extrema y carencia por acceso a la alimentación.</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13.1% de la población (152,023 personas) fueron afectadas por el rezago educativo, y la población de 15 años o más que era analfabeta representó un 2.3% de la población (26,680 personas).</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26% de la población (303,425 personas) no tenía acceso a servicios de salud, el 42.3% de la población (493,227 personas) carecían de acceso a la seguridad social.</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6.1 % de la población (71,599 personas) reportó habitar en viviendas de mala calidad de materiales y espacio insuficiente, y el 1.8% (20,706 personas) reportó habitar en viviendas sin disponibilidad de servicios básicos.</w:t>
      </w:r>
    </w:p>
    <w:p w:rsidR="0022687E" w:rsidRPr="000F752F" w:rsidRDefault="0022687E" w:rsidP="0022687E">
      <w:pPr>
        <w:spacing w:after="200" w:line="360" w:lineRule="auto"/>
        <w:jc w:val="both"/>
        <w:rPr>
          <w:rFonts w:ascii="Arial" w:eastAsia="MS Mincho" w:hAnsi="Arial" w:cs="Arial"/>
          <w:sz w:val="22"/>
          <w:szCs w:val="22"/>
          <w:lang w:val="es-ES_tradnl" w:eastAsia="es-MX"/>
        </w:rPr>
      </w:pPr>
    </w:p>
    <w:p w:rsidR="0022687E" w:rsidRPr="000F752F" w:rsidRDefault="0022687E" w:rsidP="0022687E">
      <w:pPr>
        <w:spacing w:after="200" w:line="360" w:lineRule="auto"/>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Otro dato alarmante es el publicado en el Informe de Pobreza y Evaluación en el estado de Nuevo León por el Consejo Nacional de Evaluación de la Política de Desarrollo Social (CONEVAL), toda vez que este establece que Monterrey se encuentra dentro de los municipios con mayor grado de desigualdad en la distribución del ingreso en el Estado (CONEVAL, 2012).</w:t>
      </w:r>
    </w:p>
    <w:p w:rsidR="0022687E" w:rsidRPr="000F752F" w:rsidRDefault="0022687E" w:rsidP="0022687E">
      <w:pPr>
        <w:spacing w:after="200" w:line="360" w:lineRule="auto"/>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lastRenderedPageBreak/>
        <w:t xml:space="preserve">Con base en la información del Censo de Población y Vivienda 2010 del INEGI, el CONEVAL realizó estimaciones sobre el porcentaje de población en situación de pobreza en Nuevo León, mismas que se muestran en la </w:t>
      </w:r>
      <w:r w:rsidRPr="000F752F">
        <w:rPr>
          <w:rFonts w:ascii="Arial" w:eastAsia="MS Mincho" w:hAnsi="Arial" w:cs="Arial"/>
          <w:i/>
          <w:sz w:val="22"/>
          <w:szCs w:val="22"/>
          <w:lang w:val="es-ES_tradnl" w:eastAsia="es-MX"/>
        </w:rPr>
        <w:t>Ilustración 9</w:t>
      </w:r>
      <w:r w:rsidRPr="000F752F">
        <w:rPr>
          <w:rFonts w:ascii="Arial" w:eastAsia="MS Mincho" w:hAnsi="Arial" w:cs="Arial"/>
          <w:sz w:val="22"/>
          <w:szCs w:val="22"/>
          <w:lang w:val="es-ES_tradnl" w:eastAsia="es-MX"/>
        </w:rPr>
        <w:t>, donde Monterrey aparece como uno de los 13 municipios que cuentan con un rango de 0 a 25% de población en situación de pobreza, el rango de pobreza más bajo (CONEVAL, s. f. a).</w:t>
      </w:r>
    </w:p>
    <w:p w:rsidR="0022687E" w:rsidRPr="0022687E" w:rsidRDefault="0022687E" w:rsidP="0022687E">
      <w:pPr>
        <w:keepNext/>
        <w:spacing w:after="200" w:line="360" w:lineRule="auto"/>
        <w:jc w:val="center"/>
        <w:rPr>
          <w:rFonts w:ascii="Cambria" w:eastAsia="MS Mincho" w:hAnsi="Cambria"/>
          <w:lang w:val="es-ES_tradnl" w:eastAsia="ja-JP"/>
        </w:rPr>
      </w:pPr>
      <w:r w:rsidRPr="0022687E">
        <w:rPr>
          <w:rFonts w:ascii="Arial" w:eastAsia="MS Mincho" w:hAnsi="Arial" w:cs="Arial"/>
          <w:noProof/>
          <w:lang w:val="es-MX" w:eastAsia="es-MX"/>
        </w:rPr>
        <w:drawing>
          <wp:inline distT="0" distB="0" distL="0" distR="0" wp14:anchorId="67135AFC" wp14:editId="6C965E5F">
            <wp:extent cx="4327981" cy="3246241"/>
            <wp:effectExtent l="25400" t="25400" r="15875" b="3048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28136" cy="3246358"/>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sz w:val="18"/>
          <w:szCs w:val="18"/>
          <w:lang w:val="es-MX" w:eastAsia="es-MX"/>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9</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Porcentaje de población en situación de pobreza, 2010. Nuevo León. Fuente: </w:t>
      </w:r>
      <w:proofErr w:type="spellStart"/>
      <w:r w:rsidRPr="0022687E">
        <w:rPr>
          <w:rFonts w:ascii="Arial" w:eastAsia="Cambria" w:hAnsi="Arial" w:cs="Arial"/>
          <w:i/>
          <w:iCs/>
          <w:color w:val="1F497D"/>
          <w:sz w:val="18"/>
          <w:szCs w:val="18"/>
          <w:lang w:val="es-MX" w:eastAsia="en-US"/>
        </w:rPr>
        <w:t>CONEVAL</w:t>
      </w:r>
      <w:proofErr w:type="gramStart"/>
      <w:r w:rsidRPr="0022687E">
        <w:rPr>
          <w:rFonts w:ascii="Arial" w:eastAsia="Cambria" w:hAnsi="Arial" w:cs="Arial"/>
          <w:i/>
          <w:iCs/>
          <w:color w:val="1F497D"/>
          <w:sz w:val="18"/>
          <w:szCs w:val="18"/>
          <w:lang w:val="es-MX" w:eastAsia="en-US"/>
        </w:rPr>
        <w:t>,s.f.b</w:t>
      </w:r>
      <w:proofErr w:type="spellEnd"/>
      <w:proofErr w:type="gramEnd"/>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Por otra parte, la Comisión Estatal de Derechos Humanos de Nuevo León (CEDHNL) ha detectado las consecuencias de la desigualdad social, al señalar que: </w:t>
      </w:r>
    </w:p>
    <w:p w:rsidR="0022687E" w:rsidRPr="0022687E" w:rsidRDefault="0022687E" w:rsidP="0022687E">
      <w:pPr>
        <w:spacing w:after="200"/>
        <w:ind w:left="851" w:right="758"/>
        <w:jc w:val="both"/>
        <w:rPr>
          <w:rFonts w:ascii="Arial" w:eastAsia="MS Mincho" w:hAnsi="Arial" w:cs="Arial"/>
          <w:i/>
          <w:sz w:val="20"/>
          <w:szCs w:val="20"/>
          <w:lang w:val="es-ES_tradnl" w:eastAsia="ja-JP"/>
        </w:rPr>
      </w:pPr>
      <w:proofErr w:type="gramStart"/>
      <w:r w:rsidRPr="0022687E">
        <w:rPr>
          <w:rFonts w:ascii="Arial" w:eastAsia="MS Mincho" w:hAnsi="Arial" w:cs="Arial"/>
          <w:i/>
          <w:sz w:val="20"/>
          <w:szCs w:val="20"/>
          <w:lang w:val="es-ES_tradnl" w:eastAsia="ja-JP"/>
        </w:rPr>
        <w:t>“…[</w:t>
      </w:r>
      <w:proofErr w:type="gramEnd"/>
      <w:r w:rsidRPr="0022687E">
        <w:rPr>
          <w:rFonts w:ascii="Arial" w:eastAsia="MS Mincho" w:hAnsi="Arial" w:cs="Arial"/>
          <w:i/>
          <w:sz w:val="20"/>
          <w:szCs w:val="20"/>
          <w:lang w:val="es-ES_tradnl" w:eastAsia="ja-JP"/>
        </w:rPr>
        <w:t>e]</w:t>
      </w:r>
      <w:proofErr w:type="spellStart"/>
      <w:r w:rsidRPr="0022687E">
        <w:rPr>
          <w:rFonts w:ascii="Arial" w:eastAsia="MS Mincho" w:hAnsi="Arial" w:cs="Arial"/>
          <w:i/>
          <w:sz w:val="20"/>
          <w:szCs w:val="20"/>
          <w:lang w:val="es-ES_tradnl" w:eastAsia="ja-JP"/>
        </w:rPr>
        <w:t>xiste</w:t>
      </w:r>
      <w:proofErr w:type="spellEnd"/>
      <w:r w:rsidRPr="0022687E">
        <w:rPr>
          <w:rFonts w:ascii="Arial" w:eastAsia="MS Mincho" w:hAnsi="Arial" w:cs="Arial"/>
          <w:i/>
          <w:sz w:val="20"/>
          <w:szCs w:val="20"/>
          <w:lang w:val="es-ES_tradnl" w:eastAsia="ja-JP"/>
        </w:rPr>
        <w:t xml:space="preserve"> mayor conciencia en torno a los altos costos sociales ligados a la desigualdad y sus consecuencias: mayor desilusión –en particular entre los jóvenes-, inestabilidad y violencia. La desigualdad dificulta los esfuerzos para reducir la pobreza y el crecimiento económico, afectando negativamente a la sociedad en su conjunto. De hecho, el Foro Económico Mundial consideró que la desigualdad constituye uno de los principales riesgos globales” (CEDHNL, 2015).</w:t>
      </w:r>
    </w:p>
    <w:p w:rsidR="0022687E" w:rsidRPr="000F752F" w:rsidRDefault="0022687E" w:rsidP="0022687E">
      <w:pPr>
        <w:spacing w:after="20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lastRenderedPageBreak/>
        <w:t>Esta falta de garantía de igualdad social (Oficina del Alto Comisionado de las Naciones Unidas para los Derechos Humanos [OACNUDH], 2003) y el desamparo institucional del Estado (</w:t>
      </w:r>
      <w:proofErr w:type="spellStart"/>
      <w:r w:rsidRPr="000F752F">
        <w:rPr>
          <w:rFonts w:ascii="Arial" w:eastAsia="MS Mincho" w:hAnsi="Arial" w:cs="Arial"/>
          <w:sz w:val="22"/>
          <w:szCs w:val="22"/>
          <w:lang w:eastAsia="ja-JP"/>
        </w:rPr>
        <w:t>Busso</w:t>
      </w:r>
      <w:proofErr w:type="spellEnd"/>
      <w:r w:rsidRPr="000F752F">
        <w:rPr>
          <w:rFonts w:ascii="Arial" w:eastAsia="MS Mincho" w:hAnsi="Arial" w:cs="Arial"/>
          <w:sz w:val="22"/>
          <w:szCs w:val="22"/>
          <w:lang w:eastAsia="ja-JP"/>
        </w:rPr>
        <w:t>, 2001), han propiciado la existencia de diversos grupos en situación de vulnerabilidad en Monterrey.</w:t>
      </w:r>
    </w:p>
    <w:p w:rsidR="0022687E" w:rsidRPr="000F752F" w:rsidRDefault="0022687E" w:rsidP="0022687E">
      <w:pPr>
        <w:spacing w:after="20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Los tres principales grupos que se consideran en situación de vulnerabilidad existentes en el municipio son: 1) los niños, las niñas y los adolescentes; 2) los adultos mayores y 3) las personas con discapacidad. </w:t>
      </w:r>
    </w:p>
    <w:p w:rsidR="0022687E" w:rsidRPr="000F752F" w:rsidRDefault="0022687E" w:rsidP="0022687E">
      <w:pPr>
        <w:spacing w:after="20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Los siguientes datos se registraron por el INEGI y el Diagnóstico de Grupos Vulnerables emitido por el Desarrollo Integral de la Familia (DIF) de Monterrey en el año 2010 (DIF, 2015; SEDESOL, 2014, 2015):</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El 23.4% de los niños, niñas y adolescentes no contaban con servicios de alguna institución de salud. </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4.6% de los niños y niñas de 5 años del municipio no asistió a la educación preescolar.</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2.4 % de los niños y niñas entre 6 y 12 años no asistió a la educación primaria.</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9.8% de los adolescentes entre 12 a 15 años y el 37.3% de los adolescentes entre 16 y 17 años no asistió a la educación media superior.</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10.3% de adolescentes entre 12 y 17 años eran económicamente activos según cifras del año 2014.</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municipio no contaba con ninguna primaria indígena.</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Además, en el año 2014, las Unidades Médicas de la Secretaría de Salud reportaron 63 casos de maltrato hacia niños y niñas menores de 12 años en el municipio de Monterrey (DIF, 2015).</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En relación con el segundo grupo en situación de vulnerabilidad, debe considerarse que el 33.3% de la población de adultos mayores del Estado se concentra en el municipio de Monterrey y se distribuye en los rangos de edad según se muestra en la </w:t>
      </w:r>
      <w:r w:rsidRPr="000F752F">
        <w:rPr>
          <w:rFonts w:ascii="Arial" w:eastAsia="MS Mincho" w:hAnsi="Arial" w:cs="Arial"/>
          <w:i/>
          <w:sz w:val="22"/>
          <w:szCs w:val="22"/>
          <w:lang w:val="es-ES_tradnl" w:eastAsia="ja-JP"/>
        </w:rPr>
        <w:t>Tabla 1</w:t>
      </w:r>
      <w:r w:rsidRPr="000F752F">
        <w:rPr>
          <w:rFonts w:ascii="Arial" w:eastAsia="MS Mincho" w:hAnsi="Arial" w:cs="Arial"/>
          <w:sz w:val="22"/>
          <w:szCs w:val="22"/>
          <w:lang w:val="es-ES_tradnl" w:eastAsia="ja-JP"/>
        </w:rPr>
        <w:t>.</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lastRenderedPageBreak/>
        <w:t>Del total de la población adulta mayor de Monterrey, -aproximadamente- el 86.45% es derechohabiente de algún servicio de salud y el 17.1% de la población adulta mayor presenta algún tipo de limitación física o intelectual (DIF, 2015).</w:t>
      </w: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1</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Población adulta mayor por rangos de edad en Monterrey y en Nuevo León. Fuente: DIF. Diagnóstico Grupos Vulnerables (2015).</w:t>
      </w:r>
    </w:p>
    <w:tbl>
      <w:tblPr>
        <w:tblStyle w:val="Tabladelista4-nfasis61"/>
        <w:tblW w:w="0" w:type="auto"/>
        <w:tblLook w:val="04A0" w:firstRow="1" w:lastRow="0" w:firstColumn="1" w:lastColumn="0" w:noHBand="0" w:noVBand="1"/>
      </w:tblPr>
      <w:tblGrid>
        <w:gridCol w:w="1574"/>
        <w:gridCol w:w="1369"/>
        <w:gridCol w:w="142"/>
        <w:gridCol w:w="1701"/>
        <w:gridCol w:w="142"/>
        <w:gridCol w:w="1225"/>
        <w:gridCol w:w="142"/>
        <w:gridCol w:w="2217"/>
      </w:tblGrid>
      <w:tr w:rsidR="0022687E" w:rsidRPr="0022687E" w:rsidTr="00226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vMerge w:val="restart"/>
            <w:tcBorders>
              <w:right w:val="single" w:sz="4" w:space="0" w:color="FFFFFF" w:themeColor="background1"/>
            </w:tcBorders>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Rangos de Edad</w:t>
            </w:r>
          </w:p>
        </w:tc>
        <w:tc>
          <w:tcPr>
            <w:tcW w:w="3354" w:type="dxa"/>
            <w:gridSpan w:val="4"/>
            <w:tcBorders>
              <w:left w:val="single" w:sz="4" w:space="0" w:color="FFFFFF" w:themeColor="background1"/>
              <w:right w:val="single" w:sz="4" w:space="0" w:color="FFFFFF" w:themeColor="background1"/>
            </w:tcBorders>
            <w:hideMark/>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Monterrey</w:t>
            </w:r>
          </w:p>
        </w:tc>
        <w:tc>
          <w:tcPr>
            <w:tcW w:w="3584" w:type="dxa"/>
            <w:gridSpan w:val="3"/>
            <w:tcBorders>
              <w:left w:val="single" w:sz="4" w:space="0" w:color="FFFFFF" w:themeColor="background1"/>
            </w:tcBorders>
            <w:hideMark/>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Nuevo León</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vMerge/>
            <w:hideMark/>
          </w:tcPr>
          <w:p w:rsidR="0022687E" w:rsidRPr="0022687E" w:rsidRDefault="0022687E" w:rsidP="0022687E">
            <w:pPr>
              <w:rPr>
                <w:rFonts w:ascii="Arial" w:eastAsia="MS Mincho" w:hAnsi="Arial" w:cs="Arial"/>
                <w:sz w:val="20"/>
                <w:szCs w:val="20"/>
                <w:lang w:val="es-ES_tradnl" w:eastAsia="ja-JP"/>
              </w:rPr>
            </w:pPr>
          </w:p>
        </w:tc>
        <w:tc>
          <w:tcPr>
            <w:tcW w:w="1369"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Población</w:t>
            </w:r>
          </w:p>
        </w:tc>
        <w:tc>
          <w:tcPr>
            <w:tcW w:w="1985" w:type="dxa"/>
            <w:gridSpan w:val="3"/>
            <w:tcBorders>
              <w:right w:val="single" w:sz="4" w:space="0" w:color="FFFFFF" w:themeColor="background1"/>
            </w:tcBorders>
            <w:hideMark/>
          </w:tcPr>
          <w:p w:rsidR="0022687E" w:rsidRPr="0022687E" w:rsidRDefault="0022687E" w:rsidP="0022687E">
            <w:pPr>
              <w:ind w:left="-108" w:firstLine="1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 de la población total</w:t>
            </w:r>
          </w:p>
        </w:tc>
        <w:tc>
          <w:tcPr>
            <w:tcW w:w="1367" w:type="dxa"/>
            <w:gridSpan w:val="2"/>
            <w:tcBorders>
              <w:left w:val="single" w:sz="4" w:space="0" w:color="FFFFFF" w:themeColor="background1"/>
            </w:tcBorders>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Población</w:t>
            </w:r>
          </w:p>
        </w:tc>
        <w:tc>
          <w:tcPr>
            <w:tcW w:w="2217"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 de la población total</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60-64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42,385</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3.73</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132,607</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2.85</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65-69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31,867</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2.81</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96,803</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2.08</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70-74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25,290</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2.23</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75,631</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1.63</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75-79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16,601</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1.46</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48,049</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1.03</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80-84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10,977</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0.97</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30,455</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0.65</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85-89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5,786</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0.51</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16,005</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0.34</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90-94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2,037</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0.18</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5,394</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0.12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95-99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647</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0.06</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1,874</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0.04</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100 y más</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145</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0.01</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460</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0.01</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Total</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135,735</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11.96</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407,278</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8.75</w:t>
            </w:r>
          </w:p>
        </w:tc>
      </w:tr>
    </w:tbl>
    <w:p w:rsidR="0022687E" w:rsidRPr="0022687E" w:rsidRDefault="0022687E" w:rsidP="0022687E">
      <w:pPr>
        <w:spacing w:after="200" w:line="360" w:lineRule="auto"/>
        <w:jc w:val="both"/>
        <w:rPr>
          <w:rFonts w:ascii="Arial" w:eastAsia="MS Mincho" w:hAnsi="Arial" w:cs="Arial"/>
          <w:sz w:val="8"/>
          <w:szCs w:val="8"/>
          <w:lang w:val="es-ES_tradnl" w:eastAsia="ja-JP"/>
        </w:rPr>
      </w:pPr>
    </w:p>
    <w:p w:rsidR="0022687E" w:rsidRPr="009C3606" w:rsidRDefault="0022687E" w:rsidP="0022687E">
      <w:pPr>
        <w:spacing w:after="200" w:line="360" w:lineRule="auto"/>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 xml:space="preserve">Ahora bien, se considera persona con discapacidad a aquélla que presenta dificultad en realizar por lo menos una de las siguientes actividades: </w:t>
      </w:r>
    </w:p>
    <w:p w:rsidR="0022687E" w:rsidRPr="0022687E" w:rsidRDefault="0022687E" w:rsidP="0022687E">
      <w:pPr>
        <w:spacing w:after="200"/>
        <w:ind w:left="851" w:right="701"/>
        <w:jc w:val="both"/>
        <w:rPr>
          <w:rFonts w:ascii="Arial" w:eastAsia="MS Mincho" w:hAnsi="Arial" w:cs="Arial"/>
          <w:i/>
          <w:sz w:val="20"/>
          <w:szCs w:val="20"/>
          <w:lang w:val="es-ES_tradnl" w:eastAsia="ja-JP"/>
        </w:rPr>
      </w:pPr>
      <w:proofErr w:type="gramStart"/>
      <w:r w:rsidRPr="0022687E">
        <w:rPr>
          <w:rFonts w:ascii="Arial" w:eastAsia="MS Mincho" w:hAnsi="Arial" w:cs="Arial"/>
          <w:i/>
          <w:sz w:val="20"/>
          <w:szCs w:val="20"/>
          <w:lang w:val="es-ES_tradnl" w:eastAsia="ja-JP"/>
        </w:rPr>
        <w:t>“…[</w:t>
      </w:r>
      <w:proofErr w:type="gramEnd"/>
      <w:r w:rsidRPr="0022687E">
        <w:rPr>
          <w:rFonts w:ascii="Arial" w:eastAsia="MS Mincho" w:hAnsi="Arial" w:cs="Arial"/>
          <w:i/>
          <w:sz w:val="20"/>
          <w:szCs w:val="20"/>
          <w:lang w:val="es-ES_tradnl" w:eastAsia="ja-JP"/>
        </w:rPr>
        <w:t>c]aminar, moverse, subir o bajar (en adelante motriz); ver, aun usando lentes (ver), hablar, comunicarse o conversar (hablar o comunicarse); oír, aun usando aparato auditivo (escuchar); vestirse, bañarse o comer (atender el cuidado personal); poner atención o aprender cosas sencillas (poner atención o aprender); limitación mental;” (DIF, 2015).</w:t>
      </w:r>
    </w:p>
    <w:p w:rsidR="0022687E" w:rsidRPr="009C3606" w:rsidRDefault="0022687E" w:rsidP="0022687E">
      <w:pPr>
        <w:spacing w:after="200" w:line="360" w:lineRule="auto"/>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29.3% de la población total del estado que presenta una discapacidad se concentra en Monterrey. Según el Censo de Población y Vivienda 2010, dentro de este grupo en situación de vulnerabilidad</w:t>
      </w:r>
      <w:r w:rsidRPr="009C3606">
        <w:rPr>
          <w:rFonts w:ascii="Arial" w:eastAsia="MS Mincho" w:hAnsi="Arial" w:cs="Arial"/>
          <w:sz w:val="22"/>
          <w:szCs w:val="22"/>
          <w:vertAlign w:val="superscript"/>
          <w:lang w:val="es-ES_tradnl" w:eastAsia="ja-JP"/>
        </w:rPr>
        <w:footnoteReference w:id="5"/>
      </w:r>
      <w:r w:rsidRPr="009C3606">
        <w:rPr>
          <w:rFonts w:ascii="Arial" w:eastAsia="MS Mincho" w:hAnsi="Arial" w:cs="Arial"/>
          <w:sz w:val="22"/>
          <w:szCs w:val="22"/>
          <w:lang w:val="es-ES_tradnl" w:eastAsia="ja-JP"/>
        </w:rPr>
        <w:t xml:space="preserve"> (INEGI, 2010; DIF, 2015):</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54.50% señala tener alguna limitación motriz.</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28.66%, una limitación para ver.</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9.72%, una limitación para escuchar.</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12.48%, una limitación mental.</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lastRenderedPageBreak/>
        <w:t>El 8.05%, una limitación para hablar o comunicarse.</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6.09%, una limitación para atender su cuidado personal.</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3.98%, una limitación para poner atención o para aprender.</w:t>
      </w:r>
    </w:p>
    <w:p w:rsidR="009C3606" w:rsidRDefault="009C3606" w:rsidP="0022687E">
      <w:pPr>
        <w:spacing w:after="200" w:line="360" w:lineRule="auto"/>
        <w:jc w:val="both"/>
        <w:rPr>
          <w:rFonts w:ascii="Arial" w:eastAsia="MS Mincho" w:hAnsi="Arial" w:cs="Arial"/>
          <w:sz w:val="22"/>
          <w:szCs w:val="22"/>
          <w:lang w:val="es-ES_tradnl" w:eastAsia="es-MX"/>
        </w:rPr>
      </w:pPr>
    </w:p>
    <w:p w:rsidR="0022687E" w:rsidRPr="009C3606" w:rsidRDefault="0022687E" w:rsidP="0022687E">
      <w:pPr>
        <w:spacing w:after="200" w:line="360" w:lineRule="auto"/>
        <w:jc w:val="both"/>
        <w:rPr>
          <w:rFonts w:ascii="Arial" w:eastAsia="MS Mincho" w:hAnsi="Arial" w:cs="Arial"/>
          <w:sz w:val="22"/>
          <w:szCs w:val="22"/>
          <w:lang w:val="es-ES_tradnl" w:eastAsia="es-MX"/>
        </w:rPr>
      </w:pPr>
      <w:r w:rsidRPr="009C3606">
        <w:rPr>
          <w:rFonts w:ascii="Arial" w:eastAsia="MS Mincho" w:hAnsi="Arial" w:cs="Arial"/>
          <w:sz w:val="22"/>
          <w:szCs w:val="22"/>
          <w:lang w:val="es-ES_tradnl" w:eastAsia="es-MX"/>
        </w:rPr>
        <w:t>Por otro lado, en relación con las quejas y/o denuncias presentadas por presuntas víctimas de violaciones a derechos humanos que se ubicaban geográficamente en Monterrey, la CEDHNL recibió 306 quejas en 2012; 410 quejas en 2013; 283 quejas en 2014 y 185 quejas de enero a noviembre de 2015.</w:t>
      </w:r>
    </w:p>
    <w:p w:rsidR="0022687E" w:rsidRPr="009C3606" w:rsidRDefault="0022687E" w:rsidP="0022687E">
      <w:pPr>
        <w:spacing w:after="200" w:line="360" w:lineRule="auto"/>
        <w:jc w:val="both"/>
        <w:rPr>
          <w:rFonts w:ascii="Arial" w:eastAsia="MS Mincho" w:hAnsi="Arial" w:cs="Arial"/>
          <w:sz w:val="22"/>
          <w:szCs w:val="22"/>
          <w:lang w:val="es-ES_tradnl" w:eastAsia="es-MX"/>
        </w:rPr>
        <w:sectPr w:rsidR="0022687E" w:rsidRPr="009C3606" w:rsidSect="00EA7FDC">
          <w:headerReference w:type="default" r:id="rId22"/>
          <w:footerReference w:type="even" r:id="rId23"/>
          <w:footerReference w:type="default" r:id="rId24"/>
          <w:headerReference w:type="first" r:id="rId25"/>
          <w:pgSz w:w="11900" w:h="16840"/>
          <w:pgMar w:top="1418" w:right="1701" w:bottom="1758" w:left="1701" w:header="284" w:footer="57" w:gutter="0"/>
          <w:cols w:space="708"/>
          <w:docGrid w:linePitch="326"/>
        </w:sectPr>
      </w:pPr>
    </w:p>
    <w:p w:rsidR="0022687E" w:rsidRPr="0022687E" w:rsidRDefault="0022687E" w:rsidP="0022687E">
      <w:pPr>
        <w:spacing w:after="200" w:line="360" w:lineRule="auto"/>
        <w:jc w:val="both"/>
        <w:rPr>
          <w:rFonts w:ascii="Arial" w:eastAsia="MS Mincho" w:hAnsi="Arial" w:cs="Arial"/>
          <w:lang w:val="es-ES_tradnl" w:eastAsia="es-MX"/>
        </w:rPr>
      </w:pPr>
    </w:p>
    <w:p w:rsidR="00FF6E49" w:rsidRDefault="00FF6E49" w:rsidP="0022687E">
      <w:pPr>
        <w:keepNext/>
        <w:spacing w:after="200"/>
        <w:jc w:val="center"/>
        <w:rPr>
          <w:rFonts w:ascii="Arial" w:eastAsia="Cambria" w:hAnsi="Arial" w:cs="Arial"/>
          <w:i/>
          <w:iCs/>
          <w:color w:val="1F497D"/>
          <w:sz w:val="18"/>
          <w:szCs w:val="18"/>
          <w:lang w:val="es-MX" w:eastAsia="en-US"/>
        </w:rPr>
        <w:sectPr w:rsidR="00FF6E49" w:rsidSect="00691D9B">
          <w:headerReference w:type="default" r:id="rId26"/>
          <w:pgSz w:w="11900" w:h="16840"/>
          <w:pgMar w:top="1417" w:right="1701" w:bottom="1417" w:left="1701" w:header="284" w:footer="708" w:gutter="0"/>
          <w:cols w:space="708"/>
          <w:docGrid w:linePitch="326"/>
        </w:sectPr>
      </w:pPr>
    </w:p>
    <w:p w:rsidR="0022687E" w:rsidRPr="0022687E" w:rsidRDefault="0022687E" w:rsidP="0022687E">
      <w:pPr>
        <w:keepNext/>
        <w:spacing w:after="200"/>
        <w:jc w:val="center"/>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lastRenderedPageBreak/>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2</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Población con discapacidad en Monterrey de acuerdo al tipo de limitación que presenta. Fuente: DIF. Diagnóstico Grupos Vulnerables (2015).</w:t>
      </w:r>
    </w:p>
    <w:tbl>
      <w:tblPr>
        <w:tblStyle w:val="Listamedia2-nfasis61"/>
        <w:tblW w:w="5301" w:type="pct"/>
        <w:tblLook w:val="04A0" w:firstRow="1" w:lastRow="0" w:firstColumn="1" w:lastColumn="0" w:noHBand="0" w:noVBand="1"/>
      </w:tblPr>
      <w:tblGrid>
        <w:gridCol w:w="1172"/>
        <w:gridCol w:w="1095"/>
        <w:gridCol w:w="828"/>
        <w:gridCol w:w="828"/>
        <w:gridCol w:w="928"/>
        <w:gridCol w:w="1040"/>
        <w:gridCol w:w="1128"/>
        <w:gridCol w:w="1170"/>
        <w:gridCol w:w="1050"/>
      </w:tblGrid>
      <w:tr w:rsidR="0022687E" w:rsidRPr="0022687E" w:rsidTr="00691D9B">
        <w:trPr>
          <w:cnfStyle w:val="100000000000" w:firstRow="1" w:lastRow="0" w:firstColumn="0" w:lastColumn="0" w:oddVBand="0" w:evenVBand="0" w:oddHBand="0" w:evenHBand="0" w:firstRowFirstColumn="0" w:firstRowLastColumn="0" w:lastRowFirstColumn="0" w:lastRowLastColumn="0"/>
          <w:trHeight w:val="301"/>
        </w:trPr>
        <w:tc>
          <w:tcPr>
            <w:cnfStyle w:val="001000000100" w:firstRow="0" w:lastRow="0" w:firstColumn="1" w:lastColumn="0" w:oddVBand="0" w:evenVBand="0" w:oddHBand="0" w:evenHBand="0" w:firstRowFirstColumn="1" w:firstRowLastColumn="0" w:lastRowFirstColumn="0" w:lastRowLastColumn="0"/>
            <w:tcW w:w="634"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rPr>
                <w:rFonts w:ascii="Arial" w:eastAsia="MS Gothic" w:hAnsi="Arial" w:cs="Arial"/>
                <w:b/>
                <w:sz w:val="20"/>
                <w:szCs w:val="20"/>
                <w:lang w:val="es-ES_tradnl" w:eastAsia="ja-JP"/>
              </w:rPr>
            </w:pPr>
          </w:p>
        </w:tc>
        <w:tc>
          <w:tcPr>
            <w:tcW w:w="59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p>
        </w:tc>
        <w:tc>
          <w:tcPr>
            <w:tcW w:w="3773" w:type="pct"/>
            <w:gridSpan w:val="7"/>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b/>
                <w:sz w:val="20"/>
                <w:szCs w:val="20"/>
                <w:lang w:val="es-ES_tradnl" w:eastAsia="ja-JP"/>
              </w:rPr>
              <w:t>Tipo de limitación</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634"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Rangos de población</w:t>
            </w:r>
          </w:p>
        </w:tc>
        <w:tc>
          <w:tcPr>
            <w:tcW w:w="59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Población con limitación</w:t>
            </w:r>
          </w:p>
        </w:tc>
        <w:tc>
          <w:tcPr>
            <w:tcW w:w="448"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Motriz</w:t>
            </w:r>
          </w:p>
        </w:tc>
        <w:tc>
          <w:tcPr>
            <w:tcW w:w="448"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Visual</w:t>
            </w:r>
          </w:p>
        </w:tc>
        <w:tc>
          <w:tcPr>
            <w:tcW w:w="502"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Auditiva</w:t>
            </w:r>
          </w:p>
        </w:tc>
        <w:tc>
          <w:tcPr>
            <w:tcW w:w="56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Lenguaje</w:t>
            </w:r>
          </w:p>
        </w:tc>
        <w:tc>
          <w:tcPr>
            <w:tcW w:w="611"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Intelectual</w:t>
            </w:r>
          </w:p>
        </w:tc>
        <w:tc>
          <w:tcPr>
            <w:tcW w:w="63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limitación para vestirse, bañarse o comer</w:t>
            </w:r>
          </w:p>
        </w:tc>
        <w:tc>
          <w:tcPr>
            <w:tcW w:w="568"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limitación para poner atención o aprender cosas sencillas</w:t>
            </w:r>
          </w:p>
        </w:tc>
      </w:tr>
      <w:tr w:rsidR="0022687E" w:rsidRPr="0022687E" w:rsidTr="00691D9B">
        <w:trPr>
          <w:trHeight w:val="549"/>
        </w:trPr>
        <w:tc>
          <w:tcPr>
            <w:cnfStyle w:val="001000000000" w:firstRow="0" w:lastRow="0" w:firstColumn="1" w:lastColumn="0" w:oddVBand="0" w:evenVBand="0" w:oddHBand="0" w:evenHBand="0" w:firstRowFirstColumn="0" w:firstRowLastColumn="0" w:lastRowFirstColumn="0" w:lastRowLastColumn="0"/>
            <w:tcW w:w="634" w:type="pct"/>
            <w:tcBorders>
              <w:top w:val="dotted" w:sz="4" w:space="0" w:color="000000" w:themeColor="text1"/>
            </w:tcBorders>
          </w:tcPr>
          <w:p w:rsidR="0022687E" w:rsidRPr="0022687E" w:rsidRDefault="0022687E" w:rsidP="0022687E">
            <w:pPr>
              <w:jc w:val="center"/>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Población Total</w:t>
            </w:r>
          </w:p>
        </w:tc>
        <w:tc>
          <w:tcPr>
            <w:tcW w:w="593"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43,340</w:t>
            </w:r>
          </w:p>
        </w:tc>
        <w:tc>
          <w:tcPr>
            <w:tcW w:w="448"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23,620</w:t>
            </w:r>
          </w:p>
        </w:tc>
        <w:tc>
          <w:tcPr>
            <w:tcW w:w="448"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12,422</w:t>
            </w:r>
          </w:p>
        </w:tc>
        <w:tc>
          <w:tcPr>
            <w:tcW w:w="502"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4,214</w:t>
            </w:r>
          </w:p>
        </w:tc>
        <w:tc>
          <w:tcPr>
            <w:tcW w:w="563"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3,487</w:t>
            </w:r>
          </w:p>
        </w:tc>
        <w:tc>
          <w:tcPr>
            <w:tcW w:w="611"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5,410</w:t>
            </w:r>
          </w:p>
        </w:tc>
        <w:tc>
          <w:tcPr>
            <w:tcW w:w="633"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2,638</w:t>
            </w:r>
          </w:p>
        </w:tc>
        <w:tc>
          <w:tcPr>
            <w:tcW w:w="568"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1,723</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0-5</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719</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261</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72</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48</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225</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201</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90</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63</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6-11</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1,548</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311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342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122</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491</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376</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115</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237</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12-17</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1,531</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350</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429</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122</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296</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423</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94</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197</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18-24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1,631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474</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142</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259</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473</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79</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135</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25-29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1,254</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384</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302</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101</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180</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399</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77</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81</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30-34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1,481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461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335</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108</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207</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495</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79</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114</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35-39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1,763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685</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399</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112</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189</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471</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83</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86</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40-44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2,019</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812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522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156</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183</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449</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65</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90</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45-49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2,209</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923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782</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126</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133</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361</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76</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49</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50-54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2,846</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1,391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1,020</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191</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175</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330</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96</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59</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55-59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3,073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1,684</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1,136</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204</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117</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222</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106</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52</w:t>
            </w:r>
          </w:p>
        </w:tc>
      </w:tr>
      <w:tr w:rsidR="0022687E" w:rsidRPr="0022687E" w:rsidTr="00691D9B">
        <w:trPr>
          <w:trHeight w:val="245"/>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60-64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3,911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2,322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1,388</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255</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156</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178</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141</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40</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65-69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3,948</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2,469</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1,310</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344</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146</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147</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169</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66</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70-74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4,277</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2,913</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1,242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448</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165</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181</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218</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72</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75-79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3,866</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2,757</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957</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477</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144</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187</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238</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80</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80-84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3,392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2,530</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782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519</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177</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201</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348</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114</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85 y más</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3,813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2,926</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923</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736</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244</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283</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564</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188</w:t>
            </w:r>
          </w:p>
        </w:tc>
      </w:tr>
    </w:tbl>
    <w:p w:rsidR="0022687E" w:rsidRPr="0022687E" w:rsidRDefault="0022687E" w:rsidP="0022687E">
      <w:pPr>
        <w:spacing w:after="200" w:line="360" w:lineRule="auto"/>
        <w:jc w:val="both"/>
        <w:rPr>
          <w:rFonts w:ascii="Arial" w:eastAsia="MS Mincho" w:hAnsi="Arial" w:cs="Arial"/>
          <w:lang w:val="es-ES_tradnl" w:eastAsia="es-MX"/>
        </w:rPr>
        <w:sectPr w:rsidR="0022687E" w:rsidRPr="0022687E" w:rsidSect="00691D9B">
          <w:type w:val="continuous"/>
          <w:pgSz w:w="11900" w:h="16840"/>
          <w:pgMar w:top="1417" w:right="1701" w:bottom="1417" w:left="1701" w:header="284" w:footer="708" w:gutter="0"/>
          <w:cols w:space="708"/>
          <w:docGrid w:linePitch="326"/>
        </w:sectPr>
      </w:pPr>
    </w:p>
    <w:p w:rsidR="0022687E" w:rsidRPr="0022687E" w:rsidRDefault="00AA1BF0" w:rsidP="0022687E">
      <w:pPr>
        <w:spacing w:after="200" w:line="360" w:lineRule="auto"/>
        <w:jc w:val="both"/>
        <w:rPr>
          <w:rFonts w:ascii="Arial" w:eastAsia="MS Mincho" w:hAnsi="Arial" w:cs="Arial"/>
          <w:lang w:val="es-ES_tradnl" w:eastAsia="es-MX"/>
        </w:rPr>
      </w:pPr>
      <w:r w:rsidRPr="0022687E">
        <w:rPr>
          <w:rFonts w:ascii="Cambria" w:eastAsia="MS Mincho" w:hAnsi="Cambria"/>
          <w:noProof/>
          <w:lang w:val="es-MX" w:eastAsia="es-MX"/>
        </w:rPr>
        <w:lastRenderedPageBreak/>
        <w:drawing>
          <wp:inline distT="0" distB="0" distL="0" distR="0" wp14:anchorId="400ADA1D" wp14:editId="7B5E6E43">
            <wp:extent cx="5490210" cy="4536440"/>
            <wp:effectExtent l="0" t="0" r="21590" b="1016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2687E" w:rsidRPr="0022687E" w:rsidRDefault="0022687E" w:rsidP="0022687E">
      <w:pPr>
        <w:spacing w:after="200"/>
        <w:jc w:val="both"/>
        <w:rPr>
          <w:rFonts w:ascii="Arial" w:eastAsia="Cambria" w:hAnsi="Arial" w:cs="Arial"/>
          <w:i/>
          <w:iCs/>
          <w:color w:val="1F497D"/>
          <w:lang w:val="es-MX" w:eastAsia="es-MX"/>
        </w:rPr>
      </w:pPr>
      <w:r w:rsidRPr="0022687E">
        <w:rPr>
          <w:rFonts w:ascii="Arial" w:eastAsia="Cambria" w:hAnsi="Arial" w:cs="Arial"/>
          <w:i/>
          <w:iCs/>
          <w:color w:val="1F497D"/>
          <w:sz w:val="18"/>
          <w:szCs w:val="18"/>
          <w:lang w:val="es-MX" w:eastAsia="en-US"/>
        </w:rPr>
        <w:t xml:space="preserve">Gráfica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Gráfica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2</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Autoridades municipales de Monterrey a las que se les han atribuido hechos violatorios de derechos humanos 2012-2015. Fuente: CEDHNL, Informes de Actividades Anuales de la CEDH, (2012, 2013, 2014 y 2015)</w:t>
      </w:r>
    </w:p>
    <w:p w:rsidR="0022687E" w:rsidRPr="00B72383" w:rsidRDefault="0022687E" w:rsidP="0022687E">
      <w:pPr>
        <w:spacing w:after="200" w:line="360" w:lineRule="auto"/>
        <w:jc w:val="both"/>
        <w:rPr>
          <w:rFonts w:ascii="Arial" w:eastAsia="MS Mincho" w:hAnsi="Arial" w:cs="Arial"/>
          <w:sz w:val="22"/>
          <w:szCs w:val="22"/>
          <w:lang w:val="es-ES_tradnl" w:eastAsia="es-MX"/>
        </w:rPr>
      </w:pPr>
      <w:r w:rsidRPr="00B72383">
        <w:rPr>
          <w:rFonts w:ascii="Arial" w:eastAsia="MS Mincho" w:hAnsi="Arial" w:cs="Arial"/>
          <w:sz w:val="22"/>
          <w:szCs w:val="22"/>
          <w:lang w:val="es-ES_tradnl" w:eastAsia="es-MX"/>
        </w:rPr>
        <w:t xml:space="preserve">La </w:t>
      </w:r>
      <w:r w:rsidRPr="00B72383">
        <w:rPr>
          <w:rFonts w:ascii="Arial" w:eastAsia="MS Mincho" w:hAnsi="Arial" w:cs="Arial"/>
          <w:i/>
          <w:sz w:val="22"/>
          <w:szCs w:val="22"/>
          <w:lang w:val="es-ES_tradnl" w:eastAsia="es-MX"/>
        </w:rPr>
        <w:t>Gráfica 2</w:t>
      </w:r>
      <w:r w:rsidRPr="00B72383">
        <w:rPr>
          <w:rFonts w:ascii="Arial" w:eastAsia="MS Mincho" w:hAnsi="Arial" w:cs="Arial"/>
          <w:sz w:val="22"/>
          <w:szCs w:val="22"/>
          <w:lang w:val="es-ES_tradnl" w:eastAsia="es-MX"/>
        </w:rPr>
        <w:t xml:space="preserve"> muestra las autoridades del municipio de Monterrey a las cuales se les atribuyeron hechos violatorios de derechos humanos por la CEDHNL, durante el periodo de 2012-2015.</w:t>
      </w:r>
    </w:p>
    <w:p w:rsidR="0022687E" w:rsidRPr="00B72383" w:rsidRDefault="0022687E" w:rsidP="0022687E">
      <w:pPr>
        <w:spacing w:after="200" w:line="360" w:lineRule="auto"/>
        <w:jc w:val="both"/>
        <w:rPr>
          <w:rFonts w:ascii="Arial" w:eastAsia="MS Mincho" w:hAnsi="Arial" w:cs="Arial"/>
          <w:sz w:val="22"/>
          <w:szCs w:val="22"/>
          <w:lang w:val="es-ES_tradnl" w:eastAsia="es-MX"/>
        </w:rPr>
      </w:pPr>
      <w:r w:rsidRPr="00B72383">
        <w:rPr>
          <w:rFonts w:ascii="Arial" w:eastAsia="MS Mincho" w:hAnsi="Arial" w:cs="Arial"/>
          <w:sz w:val="22"/>
          <w:szCs w:val="22"/>
          <w:lang w:val="es-ES_tradnl" w:eastAsia="es-MX"/>
        </w:rPr>
        <w:t xml:space="preserve">Con relación a las recomendaciones emitidas por CEDHNL durante dicho periodo, dieciocho fueron </w:t>
      </w:r>
      <w:proofErr w:type="gramStart"/>
      <w:r w:rsidRPr="00B72383">
        <w:rPr>
          <w:rFonts w:ascii="Arial" w:eastAsia="MS Mincho" w:hAnsi="Arial" w:cs="Arial"/>
          <w:sz w:val="22"/>
          <w:szCs w:val="22"/>
          <w:lang w:val="es-ES_tradnl" w:eastAsia="es-MX"/>
        </w:rPr>
        <w:t>formuladas</w:t>
      </w:r>
      <w:proofErr w:type="gramEnd"/>
      <w:r w:rsidRPr="00B72383">
        <w:rPr>
          <w:rFonts w:ascii="Arial" w:eastAsia="MS Mincho" w:hAnsi="Arial" w:cs="Arial"/>
          <w:sz w:val="22"/>
          <w:szCs w:val="22"/>
          <w:lang w:val="es-ES_tradnl" w:eastAsia="es-MX"/>
        </w:rPr>
        <w:t xml:space="preserve"> hacia autoridades del municipio de Monterrey, las cuales se muestran en la </w:t>
      </w:r>
      <w:r w:rsidRPr="00B72383">
        <w:rPr>
          <w:rFonts w:ascii="Arial" w:eastAsia="MS Mincho" w:hAnsi="Arial" w:cs="Arial"/>
          <w:i/>
          <w:sz w:val="22"/>
          <w:szCs w:val="22"/>
          <w:lang w:val="es-ES_tradnl" w:eastAsia="es-MX"/>
        </w:rPr>
        <w:t>Gráfica 3</w:t>
      </w:r>
      <w:r w:rsidRPr="00B72383">
        <w:rPr>
          <w:rFonts w:ascii="Arial" w:eastAsia="MS Mincho" w:hAnsi="Arial" w:cs="Arial"/>
          <w:sz w:val="22"/>
          <w:szCs w:val="22"/>
          <w:lang w:val="es-ES_tradnl" w:eastAsia="es-MX"/>
        </w:rPr>
        <w:t xml:space="preserve">. </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Además, en la </w:t>
      </w:r>
      <w:r w:rsidRPr="00B72383">
        <w:rPr>
          <w:rFonts w:ascii="Arial" w:eastAsia="MS Mincho" w:hAnsi="Arial" w:cs="Arial"/>
          <w:i/>
          <w:sz w:val="22"/>
          <w:szCs w:val="22"/>
          <w:lang w:val="es-ES_tradnl" w:eastAsia="ja-JP"/>
        </w:rPr>
        <w:t xml:space="preserve">Tabla 2 </w:t>
      </w:r>
      <w:r w:rsidRPr="00B72383">
        <w:rPr>
          <w:rFonts w:ascii="Arial" w:eastAsia="MS Mincho" w:hAnsi="Arial" w:cs="Arial"/>
          <w:sz w:val="22"/>
          <w:szCs w:val="22"/>
          <w:lang w:val="es-ES_tradnl" w:eastAsia="ja-JP"/>
        </w:rPr>
        <w:t>se presentan las autoridades del municipio de Monterrey responsables de violaciones a derechos humanos y los principales derechos humanos violados por las mismas, durante el periodo 2012-2015.</w:t>
      </w:r>
    </w:p>
    <w:p w:rsidR="0022687E" w:rsidRPr="00B72383" w:rsidRDefault="0022687E" w:rsidP="0006129B">
      <w:pPr>
        <w:rPr>
          <w:rFonts w:ascii="Arial" w:eastAsia="MS Mincho" w:hAnsi="Arial" w:cs="Arial"/>
          <w:sz w:val="22"/>
          <w:szCs w:val="22"/>
          <w:lang w:val="es-ES_tradnl" w:eastAsia="ja-JP"/>
        </w:rPr>
        <w:sectPr w:rsidR="0022687E" w:rsidRPr="00B72383" w:rsidSect="0006129B">
          <w:headerReference w:type="default" r:id="rId28"/>
          <w:type w:val="continuous"/>
          <w:pgSz w:w="11900" w:h="16840"/>
          <w:pgMar w:top="1417" w:right="1701" w:bottom="1417" w:left="1701" w:header="284" w:footer="708" w:gutter="0"/>
          <w:cols w:space="708"/>
        </w:sectPr>
      </w:pPr>
    </w:p>
    <w:p w:rsidR="0022687E" w:rsidRPr="0022687E" w:rsidRDefault="0022687E" w:rsidP="0022687E">
      <w:pPr>
        <w:keepNext/>
        <w:spacing w:after="200" w:line="360" w:lineRule="auto"/>
        <w:jc w:val="center"/>
        <w:rPr>
          <w:rFonts w:ascii="Cambria" w:eastAsia="MS Mincho" w:hAnsi="Cambria"/>
          <w:lang w:val="es-ES_tradnl" w:eastAsia="ja-JP"/>
        </w:rPr>
      </w:pPr>
      <w:r w:rsidRPr="0022687E">
        <w:rPr>
          <w:rFonts w:ascii="Cambria" w:eastAsia="MS Mincho" w:hAnsi="Cambria"/>
          <w:noProof/>
          <w:lang w:val="es-MX" w:eastAsia="es-MX"/>
        </w:rPr>
        <w:lastRenderedPageBreak/>
        <w:drawing>
          <wp:anchor distT="0" distB="0" distL="114300" distR="114300" simplePos="0" relativeHeight="251679744" behindDoc="1" locked="0" layoutInCell="1" allowOverlap="1" wp14:anchorId="08CA9282" wp14:editId="5E634CB5">
            <wp:simplePos x="0" y="0"/>
            <wp:positionH relativeFrom="column">
              <wp:posOffset>250825</wp:posOffset>
            </wp:positionH>
            <wp:positionV relativeFrom="paragraph">
              <wp:posOffset>351583</wp:posOffset>
            </wp:positionV>
            <wp:extent cx="5105400" cy="4057650"/>
            <wp:effectExtent l="0" t="0" r="19050" b="19050"/>
            <wp:wrapNone/>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FF6E49" w:rsidRDefault="00FF6E49" w:rsidP="0022687E">
      <w:pPr>
        <w:spacing w:after="200"/>
        <w:jc w:val="both"/>
        <w:rPr>
          <w:rFonts w:ascii="Arial" w:eastAsia="Cambria" w:hAnsi="Arial" w:cs="Arial"/>
          <w:i/>
          <w:iCs/>
          <w:color w:val="1F497D"/>
          <w:sz w:val="18"/>
          <w:szCs w:val="18"/>
          <w:lang w:val="es-MX" w:eastAsia="en-US"/>
        </w:rPr>
        <w:sectPr w:rsidR="00FF6E49" w:rsidSect="00691D9B">
          <w:headerReference w:type="default" r:id="rId30"/>
          <w:pgSz w:w="11900" w:h="16840"/>
          <w:pgMar w:top="1417" w:right="1701" w:bottom="1417" w:left="1701" w:header="284" w:footer="708" w:gutter="0"/>
          <w:cols w:space="708"/>
          <w:docGrid w:linePitch="326"/>
        </w:sect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Pr="00FF6E49" w:rsidRDefault="00FF6E49" w:rsidP="0022687E">
      <w:pPr>
        <w:spacing w:after="200"/>
        <w:jc w:val="both"/>
        <w:rPr>
          <w:rFonts w:ascii="Arial" w:eastAsia="Cambria" w:hAnsi="Arial" w:cs="Arial"/>
          <w:i/>
          <w:iCs/>
          <w:color w:val="1F497D"/>
          <w:sz w:val="2"/>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sectPr w:rsidR="00FF6E49" w:rsidSect="00691D9B">
          <w:type w:val="continuous"/>
          <w:pgSz w:w="11900" w:h="16840"/>
          <w:pgMar w:top="1417" w:right="1701" w:bottom="1417" w:left="1701" w:header="284" w:footer="708" w:gutter="0"/>
          <w:cols w:space="708"/>
          <w:docGrid w:linePitch="326"/>
        </w:sect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Pr="00FF6E49" w:rsidRDefault="00FF6E49" w:rsidP="0022687E">
      <w:pPr>
        <w:spacing w:after="200"/>
        <w:jc w:val="both"/>
        <w:rPr>
          <w:rFonts w:ascii="Arial" w:eastAsia="Cambria" w:hAnsi="Arial" w:cs="Arial"/>
          <w:i/>
          <w:iCs/>
          <w:color w:val="1F497D"/>
          <w:sz w:val="2"/>
          <w:szCs w:val="18"/>
          <w:lang w:val="es-MX" w:eastAsia="en-US"/>
        </w:rPr>
      </w:pPr>
    </w:p>
    <w:p w:rsidR="00FF6E49" w:rsidRPr="00FF6E49" w:rsidRDefault="00FF6E49" w:rsidP="0022687E">
      <w:pPr>
        <w:spacing w:after="200"/>
        <w:jc w:val="both"/>
        <w:rPr>
          <w:rFonts w:ascii="Arial" w:eastAsia="Cambria" w:hAnsi="Arial" w:cs="Arial"/>
          <w:i/>
          <w:iCs/>
          <w:color w:val="1F497D"/>
          <w:sz w:val="14"/>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691D9B" w:rsidRDefault="00691D9B" w:rsidP="0022687E">
      <w:pPr>
        <w:spacing w:after="200"/>
        <w:jc w:val="both"/>
        <w:rPr>
          <w:rFonts w:ascii="Arial" w:eastAsia="Cambria" w:hAnsi="Arial" w:cs="Arial"/>
          <w:i/>
          <w:iCs/>
          <w:color w:val="1F497D"/>
          <w:sz w:val="18"/>
          <w:szCs w:val="18"/>
          <w:lang w:val="es-MX" w:eastAsia="en-US"/>
        </w:rPr>
      </w:pPr>
    </w:p>
    <w:p w:rsidR="00691D9B" w:rsidRDefault="00691D9B" w:rsidP="0022687E">
      <w:pPr>
        <w:spacing w:after="200"/>
        <w:jc w:val="both"/>
        <w:rPr>
          <w:rFonts w:ascii="Arial" w:eastAsia="Cambria" w:hAnsi="Arial" w:cs="Arial"/>
          <w:i/>
          <w:iCs/>
          <w:color w:val="1F497D"/>
          <w:sz w:val="18"/>
          <w:szCs w:val="18"/>
          <w:lang w:val="es-MX" w:eastAsia="en-US"/>
        </w:rPr>
      </w:pPr>
    </w:p>
    <w:p w:rsidR="00691D9B" w:rsidRDefault="00691D9B" w:rsidP="0022687E">
      <w:pPr>
        <w:spacing w:after="200"/>
        <w:jc w:val="both"/>
        <w:rPr>
          <w:rFonts w:ascii="Arial" w:eastAsia="Cambria" w:hAnsi="Arial" w:cs="Arial"/>
          <w:i/>
          <w:iCs/>
          <w:color w:val="1F497D"/>
          <w:sz w:val="18"/>
          <w:szCs w:val="18"/>
          <w:lang w:val="es-MX" w:eastAsia="en-US"/>
        </w:rPr>
      </w:pPr>
    </w:p>
    <w:p w:rsidR="0022687E" w:rsidRPr="0022687E" w:rsidRDefault="0022687E" w:rsidP="0022687E">
      <w:pPr>
        <w:spacing w:after="200"/>
        <w:jc w:val="both"/>
        <w:rPr>
          <w:rFonts w:ascii="Arial" w:eastAsia="Cambria" w:hAnsi="Arial" w:cs="Arial"/>
          <w:i/>
          <w:iCs/>
          <w:color w:val="1F497D"/>
          <w:lang w:val="es-MX" w:eastAsia="es-MX"/>
        </w:rPr>
        <w:sectPr w:rsidR="0022687E" w:rsidRPr="0022687E" w:rsidSect="00691D9B">
          <w:type w:val="continuous"/>
          <w:pgSz w:w="11900" w:h="16840"/>
          <w:pgMar w:top="1417" w:right="1701" w:bottom="1417" w:left="1701" w:header="284" w:footer="708" w:gutter="0"/>
          <w:cols w:space="708"/>
          <w:docGrid w:linePitch="326"/>
        </w:sectPr>
      </w:pPr>
      <w:r w:rsidRPr="0022687E">
        <w:rPr>
          <w:rFonts w:ascii="Arial" w:eastAsia="Cambria" w:hAnsi="Arial" w:cs="Arial"/>
          <w:i/>
          <w:iCs/>
          <w:color w:val="1F497D"/>
          <w:sz w:val="18"/>
          <w:szCs w:val="18"/>
          <w:lang w:val="es-MX" w:eastAsia="en-US"/>
        </w:rPr>
        <w:t xml:space="preserve">Gráfica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Gráfica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3</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Recomendaciones de la CEDHNL emitidas a las autoridades del municipio de Monterrey durante el periodo 2012-2015. Fuente: CEDHNL (2012, 2013, 2014 y 2015).</w:t>
      </w: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lastRenderedPageBreak/>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3</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Hechos violatorios de derechos humanos realizados por autoridades del municipio de Monterrey acreditados por la CEDHNL durante el periodo 2012-2015. Fuente: CEDHNL (2012, 2013, 2014, 2015).</w:t>
      </w:r>
    </w:p>
    <w:tbl>
      <w:tblPr>
        <w:tblStyle w:val="Tabladelista3-nfasis62"/>
        <w:tblW w:w="8931" w:type="dxa"/>
        <w:tblInd w:w="108" w:type="dxa"/>
        <w:tblLayout w:type="fixed"/>
        <w:tblLook w:val="04A0" w:firstRow="1" w:lastRow="0" w:firstColumn="1" w:lastColumn="0" w:noHBand="0" w:noVBand="1"/>
      </w:tblPr>
      <w:tblGrid>
        <w:gridCol w:w="4452"/>
        <w:gridCol w:w="4479"/>
      </w:tblGrid>
      <w:tr w:rsidR="0022687E" w:rsidRPr="0022687E" w:rsidTr="00B72383">
        <w:trPr>
          <w:cnfStyle w:val="100000000000" w:firstRow="1" w:lastRow="0" w:firstColumn="0" w:lastColumn="0" w:oddVBand="0" w:evenVBand="0" w:oddHBand="0" w:evenHBand="0" w:firstRowFirstColumn="0" w:firstRowLastColumn="0" w:lastRowFirstColumn="0" w:lastRowLastColumn="0"/>
          <w:trHeight w:val="688"/>
        </w:trPr>
        <w:tc>
          <w:tcPr>
            <w:cnfStyle w:val="001000000100" w:firstRow="0" w:lastRow="0" w:firstColumn="1" w:lastColumn="0" w:oddVBand="0" w:evenVBand="0" w:oddHBand="0" w:evenHBand="0" w:firstRowFirstColumn="1" w:firstRowLastColumn="0" w:lastRowFirstColumn="0" w:lastRowLastColumn="0"/>
            <w:tcW w:w="4452" w:type="dxa"/>
          </w:tcPr>
          <w:p w:rsidR="0022687E" w:rsidRPr="0022687E" w:rsidRDefault="0022687E" w:rsidP="0022687E">
            <w:pPr>
              <w:keepNext/>
              <w:keepLines/>
              <w:tabs>
                <w:tab w:val="center" w:pos="2143"/>
              </w:tab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Autoridad</w:t>
            </w:r>
            <w:r w:rsidRPr="0022687E">
              <w:rPr>
                <w:rFonts w:ascii="Arial" w:hAnsi="Arial" w:cs="Arial"/>
                <w:sz w:val="20"/>
                <w:szCs w:val="20"/>
                <w:lang w:val="es-ES_tradnl" w:eastAsia="es-MX"/>
              </w:rPr>
              <w:tab/>
            </w:r>
          </w:p>
        </w:tc>
        <w:tc>
          <w:tcPr>
            <w:tcW w:w="4479" w:type="dxa"/>
            <w:vAlign w:val="center"/>
          </w:tcPr>
          <w:p w:rsidR="0022687E" w:rsidRPr="0022687E" w:rsidRDefault="0022687E" w:rsidP="0022687E">
            <w:pPr>
              <w:keepNext/>
              <w:keepLines/>
              <w:spacing w:before="200"/>
              <w:jc w:val="both"/>
              <w:outlineLvl w:val="1"/>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s-ES_tradnl" w:eastAsia="es-MX"/>
              </w:rPr>
            </w:pPr>
            <w:r w:rsidRPr="0022687E">
              <w:rPr>
                <w:rFonts w:ascii="Arial" w:hAnsi="Arial" w:cs="Arial"/>
                <w:sz w:val="20"/>
                <w:szCs w:val="20"/>
                <w:lang w:val="es-ES_tradnl" w:eastAsia="es-MX"/>
              </w:rPr>
              <w:t>Hechos violatorios acreditados</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4452" w:type="dxa"/>
          </w:tcPr>
          <w:p w:rsidR="0022687E" w:rsidRPr="00260FD2" w:rsidRDefault="00260FD2" w:rsidP="0022687E">
            <w:pPr>
              <w:keepNext/>
              <w:keepLines/>
              <w:spacing w:before="200"/>
              <w:jc w:val="both"/>
              <w:outlineLvl w:val="1"/>
              <w:rPr>
                <w:rFonts w:ascii="Arial" w:hAnsi="Arial" w:cs="Arial"/>
                <w:sz w:val="20"/>
                <w:szCs w:val="20"/>
                <w:lang w:val="es-ES_tradnl" w:eastAsia="es-MX"/>
              </w:rPr>
            </w:pPr>
            <w:r w:rsidRPr="00260FD2">
              <w:rPr>
                <w:rFonts w:ascii="Arial" w:hAnsi="Arial" w:cs="Arial"/>
                <w:color w:val="000000"/>
                <w:sz w:val="20"/>
                <w:szCs w:val="20"/>
                <w:lang w:val="es-ES_tradnl"/>
              </w:rPr>
              <w:t>Presidencia Municipal de Monterrey</w:t>
            </w:r>
          </w:p>
        </w:tc>
        <w:tc>
          <w:tcPr>
            <w:tcW w:w="4479" w:type="dxa"/>
            <w:vAlign w:val="center"/>
          </w:tcPr>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Al derecho a la vida;</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integridad;</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personal;</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Al trabajo;</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legalidad,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jurídica.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Municipio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int</w:t>
            </w:r>
            <w:r w:rsidR="00FF6E49">
              <w:rPr>
                <w:rFonts w:ascii="Arial" w:hAnsi="Arial" w:cs="Arial"/>
                <w:b/>
                <w:bCs/>
                <w:sz w:val="20"/>
                <w:szCs w:val="20"/>
                <w:lang w:val="es-ES_tradnl" w:eastAsia="es-MX"/>
              </w:rPr>
              <w:t>e</w:t>
            </w:r>
            <w:r w:rsidRPr="0022687E">
              <w:rPr>
                <w:rFonts w:ascii="Arial" w:hAnsi="Arial" w:cs="Arial"/>
                <w:b/>
                <w:bCs/>
                <w:sz w:val="20"/>
                <w:szCs w:val="20"/>
                <w:lang w:val="es-ES_tradnl" w:eastAsia="es-MX"/>
              </w:rPr>
              <w:t>gridad;</w:t>
            </w:r>
          </w:p>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eastAsia="MS Gothic" w:hAnsi="Arial" w:cs="Arial"/>
                <w:b/>
                <w:bCs/>
                <w:sz w:val="20"/>
                <w:szCs w:val="20"/>
                <w:lang w:val="es-ES_tradnl" w:eastAsia="ja-JP"/>
              </w:rPr>
              <w:t>A la seguridad personal,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Al trato digno.</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Policía Preventiva Municipal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Al trato digno,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jurídica.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Policía Municipal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libertad personal;</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vida privada;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integridad;</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personal,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 xml:space="preserve">A la seguridad jurídica. </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Desarrollo Humano y Social del municipio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los derechos de los niños, las niñas y los adolescentes,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vida privada.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Secretario del R. Ayuntamiento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libertad personal;</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vida privada;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integridad;</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personal,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jurídica.</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Desarrollo Urbano y Ecología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Al trato digno, y</w:t>
            </w:r>
          </w:p>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eastAsia="MS Gothic" w:hAnsi="Arial" w:cs="Arial"/>
                <w:b/>
                <w:bCs/>
                <w:sz w:val="20"/>
                <w:szCs w:val="20"/>
                <w:lang w:val="es-ES_tradnl" w:eastAsia="ja-JP"/>
              </w:rPr>
              <w:t>A la seguridad jurídica.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Seguridad Pública y Vialidad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libertad personal por detención arbitraria;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 la integridad personal por tratos crueles e inhumanos;</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 la protección de la honra y de la dignidad por injerencias arbitrarias en la vida privada;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 la seguridad jurídica;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 xml:space="preserve">Al derecho como mujer a una vida libre de </w:t>
            </w:r>
            <w:r w:rsidRPr="0022687E">
              <w:rPr>
                <w:rFonts w:ascii="Arial" w:eastAsia="MS Mincho" w:hAnsi="Arial" w:cs="Arial"/>
                <w:sz w:val="20"/>
                <w:szCs w:val="20"/>
                <w:lang w:val="es-ES_tradnl" w:eastAsia="es-MX"/>
              </w:rPr>
              <w:lastRenderedPageBreak/>
              <w:t>violencia,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Al debido proceso legal, por detención arbitraria e ilegal.</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lastRenderedPageBreak/>
              <w:t>Secretaría de Servicios Públicos del municipio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derechos a la integridad personal, por tratos inhumanos y degradantes y falta de trato digno;</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igualdad, por discriminación;</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Al derecho como mujer a una vida libre de violencia,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es-MX"/>
              </w:rPr>
              <w:t xml:space="preserve">A la seguridad jurídica. </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Contraloría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Al trato digno,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 xml:space="preserve">A la seguridad jurídica. </w:t>
            </w:r>
          </w:p>
        </w:tc>
      </w:tr>
    </w:tbl>
    <w:p w:rsidR="00AA1BF0" w:rsidRDefault="00AA1BF0" w:rsidP="00AA1BF0">
      <w:pPr>
        <w:spacing w:after="200"/>
        <w:rPr>
          <w:rFonts w:ascii="Arial" w:eastAsia="MS Mincho" w:hAnsi="Arial" w:cs="Arial"/>
          <w:lang w:val="es-ES_tradnl" w:eastAsia="ja-JP"/>
        </w:rPr>
      </w:pPr>
    </w:p>
    <w:p w:rsidR="0022687E" w:rsidRPr="00B72383" w:rsidRDefault="0022687E" w:rsidP="00AA1BF0">
      <w:pPr>
        <w:spacing w:after="200"/>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Como es posible advertir, las mayores violaciones a derechos humanos cometidas por autoridades del municipio de Monterrey son las relacionadas con seguridad pública y vialidad. Al respecto, conforme a datos estadísticos del INEGI, la incidencia delictiva en Monterrey, en 2010, se calculó en las siguientes cifras (INEGI, s. f. c): </w:t>
      </w: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4</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Incidencia delictiva en el municipio de Monterrey, en 2010. Fuente: INEGI, México en cifras, (s. f.).</w:t>
      </w:r>
    </w:p>
    <w:tbl>
      <w:tblPr>
        <w:tblStyle w:val="Tabladecuadrcula5oscura-nfasis61"/>
        <w:tblW w:w="0" w:type="auto"/>
        <w:tblLook w:val="04A0" w:firstRow="1" w:lastRow="0" w:firstColumn="1" w:lastColumn="0" w:noHBand="0" w:noVBand="1"/>
      </w:tblPr>
      <w:tblGrid>
        <w:gridCol w:w="739"/>
        <w:gridCol w:w="1212"/>
        <w:gridCol w:w="4119"/>
        <w:gridCol w:w="2644"/>
      </w:tblGrid>
      <w:tr w:rsidR="0022687E" w:rsidRPr="0022687E" w:rsidTr="00226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Año</w:t>
            </w:r>
          </w:p>
        </w:tc>
        <w:tc>
          <w:tcPr>
            <w:tcW w:w="1212"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Total de incidencia delictiva</w:t>
            </w:r>
          </w:p>
        </w:tc>
        <w:tc>
          <w:tcPr>
            <w:tcW w:w="4119"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Cinco principales delitos</w:t>
            </w:r>
          </w:p>
        </w:tc>
        <w:tc>
          <w:tcPr>
            <w:tcW w:w="2644"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Incidencia de los cinco principales delitos</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2010</w:t>
            </w:r>
          </w:p>
        </w:tc>
        <w:tc>
          <w:tcPr>
            <w:tcW w:w="1212"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ND</w:t>
            </w:r>
          </w:p>
        </w:tc>
        <w:tc>
          <w:tcPr>
            <w:tcW w:w="4119"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w:t>
            </w:r>
          </w:p>
        </w:tc>
        <w:tc>
          <w:tcPr>
            <w:tcW w:w="2644"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18,380</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Daño en las cosas</w:t>
            </w:r>
          </w:p>
        </w:tc>
        <w:tc>
          <w:tcPr>
            <w:tcW w:w="2644"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2,542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w:t>
            </w:r>
          </w:p>
        </w:tc>
        <w:tc>
          <w:tcPr>
            <w:tcW w:w="2644"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1,368</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Delitos sexuales</w:t>
            </w:r>
          </w:p>
        </w:tc>
        <w:tc>
          <w:tcPr>
            <w:tcW w:w="2644"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432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Homicidio</w:t>
            </w:r>
          </w:p>
        </w:tc>
        <w:tc>
          <w:tcPr>
            <w:tcW w:w="2644"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367</w:t>
            </w:r>
          </w:p>
        </w:tc>
      </w:tr>
    </w:tbl>
    <w:p w:rsidR="00B72383" w:rsidRDefault="00B72383" w:rsidP="0022687E">
      <w:pPr>
        <w:spacing w:after="200" w:line="360" w:lineRule="auto"/>
        <w:jc w:val="both"/>
        <w:rPr>
          <w:rFonts w:ascii="Arial" w:eastAsia="MS Mincho" w:hAnsi="Arial" w:cs="Arial"/>
          <w:sz w:val="22"/>
          <w:szCs w:val="22"/>
          <w:lang w:eastAsia="ja-JP"/>
        </w:rPr>
      </w:pPr>
    </w:p>
    <w:p w:rsidR="0022687E" w:rsidRPr="00B72383" w:rsidRDefault="0022687E" w:rsidP="0022687E">
      <w:pPr>
        <w:spacing w:after="200" w:line="360" w:lineRule="auto"/>
        <w:jc w:val="both"/>
        <w:rPr>
          <w:rFonts w:ascii="Arial" w:eastAsia="MS Mincho" w:hAnsi="Arial" w:cs="Arial"/>
          <w:i/>
          <w:sz w:val="22"/>
          <w:szCs w:val="22"/>
          <w:lang w:val="es-ES_tradnl" w:eastAsia="ja-JP"/>
        </w:rPr>
      </w:pPr>
      <w:r w:rsidRPr="00B72383">
        <w:rPr>
          <w:rFonts w:ascii="Arial" w:eastAsia="MS Mincho" w:hAnsi="Arial" w:cs="Arial"/>
          <w:sz w:val="22"/>
          <w:szCs w:val="22"/>
          <w:lang w:val="es-ES_tradnl" w:eastAsia="ja-JP"/>
        </w:rPr>
        <w:t xml:space="preserve">Respecto de los años 2011, 2012, 2013, 2014 y el periodo de enero-noviembre de 2015, de la información publicada por el Secretariado Ejecutivo del Sistema Nacional de Seguridad Pública ([SESNSP], s. f.) en el documento de Incidencia delictiva del fuero común en los municipios, se calcula que la incidencia delictiva ascendió a las cifras presentadas en la </w:t>
      </w:r>
      <w:r w:rsidRPr="00B72383">
        <w:rPr>
          <w:rFonts w:ascii="Arial" w:eastAsia="MS Mincho" w:hAnsi="Arial" w:cs="Arial"/>
          <w:i/>
          <w:sz w:val="22"/>
          <w:szCs w:val="22"/>
          <w:lang w:val="es-ES_tradnl" w:eastAsia="ja-JP"/>
        </w:rPr>
        <w:t>Tabla 5.</w:t>
      </w:r>
    </w:p>
    <w:p w:rsidR="00BB766D" w:rsidRPr="0022687E" w:rsidRDefault="00BB766D" w:rsidP="0022687E">
      <w:pPr>
        <w:spacing w:after="200" w:line="360" w:lineRule="auto"/>
        <w:jc w:val="both"/>
        <w:rPr>
          <w:rFonts w:ascii="Arial" w:eastAsia="MS Mincho" w:hAnsi="Arial" w:cs="Arial"/>
          <w:lang w:val="es-ES_tradnl" w:eastAsia="ja-JP"/>
        </w:rPr>
      </w:pP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lastRenderedPageBreak/>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5</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Incidencia delictiva en el municipio de Monterrey, en 2011, 2012, 2013, 2014 y el periodo de enero-noviembre 2015. Fuente: SESNSP, (s. f.).</w:t>
      </w:r>
    </w:p>
    <w:tbl>
      <w:tblPr>
        <w:tblStyle w:val="Tabladecuadrcula5oscura-nfasis61"/>
        <w:tblW w:w="0" w:type="auto"/>
        <w:tblLook w:val="04A0" w:firstRow="1" w:lastRow="0" w:firstColumn="1" w:lastColumn="0" w:noHBand="0" w:noVBand="1"/>
      </w:tblPr>
      <w:tblGrid>
        <w:gridCol w:w="814"/>
        <w:gridCol w:w="1097"/>
        <w:gridCol w:w="4033"/>
        <w:gridCol w:w="2770"/>
      </w:tblGrid>
      <w:tr w:rsidR="0022687E" w:rsidRPr="0022687E" w:rsidTr="00226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Año</w:t>
            </w:r>
          </w:p>
        </w:tc>
        <w:tc>
          <w:tcPr>
            <w:tcW w:w="1097"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Total de incidencia delictiva</w:t>
            </w:r>
          </w:p>
        </w:tc>
        <w:tc>
          <w:tcPr>
            <w:tcW w:w="4033"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Cinco principales delitos</w:t>
            </w:r>
          </w:p>
        </w:tc>
        <w:tc>
          <w:tcPr>
            <w:tcW w:w="2770"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Incidencia de los cinco principales delitos</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2011</w:t>
            </w:r>
          </w:p>
        </w:tc>
        <w:tc>
          <w:tcPr>
            <w:tcW w:w="1097"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21,942</w:t>
            </w: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(con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5,689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3,427</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negocio (con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2,318</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1,681</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casa habitación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1,253</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2012</w:t>
            </w:r>
          </w:p>
        </w:tc>
        <w:tc>
          <w:tcPr>
            <w:tcW w:w="1097" w:type="dxa"/>
            <w:vMerge w:val="restart"/>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14,668</w:t>
            </w: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2,244</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1,639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1,252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casa habitación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1,249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negocio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1,019</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2013</w:t>
            </w:r>
          </w:p>
        </w:tc>
        <w:tc>
          <w:tcPr>
            <w:tcW w:w="1097"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14,509</w:t>
            </w: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”otros”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1,545</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casa habitación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1,502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 culposas</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1,309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1,363</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 patrimonial de fraude</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1,226</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2014</w:t>
            </w:r>
          </w:p>
        </w:tc>
        <w:tc>
          <w:tcPr>
            <w:tcW w:w="1097" w:type="dxa"/>
            <w:vMerge w:val="restart"/>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12,904</w:t>
            </w: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 dolosas</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1,741</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1,472</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 patrimonial de fraude</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1,220</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Amenazas</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1,144</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“otros”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1,046</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2015</w:t>
            </w:r>
          </w:p>
        </w:tc>
        <w:tc>
          <w:tcPr>
            <w:tcW w:w="1097"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10,229</w:t>
            </w:r>
          </w:p>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(ene-nov)</w:t>
            </w: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 dolosas</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1,593</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 patrimonial de fraude</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1,057</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“otros”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916</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Amenazas</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857</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612</w:t>
            </w:r>
          </w:p>
        </w:tc>
      </w:tr>
    </w:tbl>
    <w:p w:rsidR="00BB766D" w:rsidRDefault="00BB766D"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Lo anterior se encuentra estrechamente relacionado con la percepción sobre la seguridad municipal. Al respecto, existen indicadores que señalan que la percepción sobre aquélla -en 2013- no fue la adecuada, pues solo 15.4% de los ciudadanos de Monterrey consideraron seguro vivir en el municipio, 46.4% lo percibieron como poco seguro y 38.2% lo estimaron inseguro, tal y como se muestra en la </w:t>
      </w:r>
      <w:r w:rsidRPr="00B72383">
        <w:rPr>
          <w:rFonts w:ascii="Arial" w:eastAsia="MS Mincho" w:hAnsi="Arial" w:cs="Arial"/>
          <w:i/>
          <w:sz w:val="22"/>
          <w:szCs w:val="22"/>
          <w:lang w:val="es-ES_tradnl" w:eastAsia="ja-JP"/>
        </w:rPr>
        <w:t>Ilustración 10</w:t>
      </w:r>
      <w:r w:rsidRPr="00B72383">
        <w:rPr>
          <w:rFonts w:ascii="Arial" w:eastAsia="MS Mincho" w:hAnsi="Arial" w:cs="Arial"/>
          <w:sz w:val="22"/>
          <w:szCs w:val="22"/>
          <w:lang w:val="es-ES_tradnl" w:eastAsia="ja-JP"/>
        </w:rPr>
        <w:t xml:space="preserve"> (</w:t>
      </w:r>
      <w:r w:rsidRPr="00B72383">
        <w:rPr>
          <w:rFonts w:ascii="Arial" w:eastAsia="MS Mincho" w:hAnsi="Arial" w:cs="Arial"/>
          <w:sz w:val="22"/>
          <w:szCs w:val="22"/>
          <w:lang w:eastAsia="ja-JP"/>
        </w:rPr>
        <w:t xml:space="preserve">Carrillo Gamboa, Olivia, Cantú Escalante, Jesús y Sánchez </w:t>
      </w:r>
      <w:proofErr w:type="spellStart"/>
      <w:r w:rsidRPr="00B72383">
        <w:rPr>
          <w:rFonts w:ascii="Arial" w:eastAsia="MS Mincho" w:hAnsi="Arial" w:cs="Arial"/>
          <w:sz w:val="22"/>
          <w:szCs w:val="22"/>
          <w:lang w:eastAsia="ja-JP"/>
        </w:rPr>
        <w:t>Cabrieles</w:t>
      </w:r>
      <w:proofErr w:type="spellEnd"/>
      <w:r w:rsidRPr="00B72383">
        <w:rPr>
          <w:rFonts w:ascii="Arial" w:eastAsia="MS Mincho" w:hAnsi="Arial" w:cs="Arial"/>
          <w:sz w:val="22"/>
          <w:szCs w:val="22"/>
          <w:lang w:eastAsia="ja-JP"/>
        </w:rPr>
        <w:t>, Tomás, 2013)</w:t>
      </w:r>
      <w:r w:rsidRPr="00B72383">
        <w:rPr>
          <w:rFonts w:ascii="Arial" w:eastAsia="MS Mincho" w:hAnsi="Arial" w:cs="Arial"/>
          <w:sz w:val="22"/>
          <w:szCs w:val="22"/>
          <w:lang w:val="es-ES_tradnl" w:eastAsia="ja-JP"/>
        </w:rPr>
        <w:t>:</w:t>
      </w:r>
    </w:p>
    <w:p w:rsidR="0022687E" w:rsidRDefault="0022687E"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drawing>
          <wp:anchor distT="0" distB="0" distL="114300" distR="114300" simplePos="0" relativeHeight="251686912" behindDoc="1" locked="0" layoutInCell="1" allowOverlap="1" wp14:anchorId="04539963" wp14:editId="16301813">
            <wp:simplePos x="0" y="0"/>
            <wp:positionH relativeFrom="margin">
              <wp:posOffset>70485</wp:posOffset>
            </wp:positionH>
            <wp:positionV relativeFrom="paragraph">
              <wp:posOffset>-123190</wp:posOffset>
            </wp:positionV>
            <wp:extent cx="5612130" cy="4145915"/>
            <wp:effectExtent l="0" t="0" r="7620" b="698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612130" cy="4145915"/>
                    </a:xfrm>
                    <a:prstGeom prst="rect">
                      <a:avLst/>
                    </a:prstGeom>
                  </pic:spPr>
                </pic:pic>
              </a:graphicData>
            </a:graphic>
          </wp:anchor>
        </w:drawing>
      </w:r>
    </w:p>
    <w:p w:rsidR="00BB766D" w:rsidRDefault="00BB766D" w:rsidP="0022687E">
      <w:pPr>
        <w:spacing w:after="200" w:line="360" w:lineRule="auto"/>
        <w:jc w:val="both"/>
        <w:rPr>
          <w:rFonts w:ascii="Arial" w:eastAsia="MS Mincho" w:hAnsi="Arial" w:cs="Arial"/>
          <w:lang w:val="es-ES_tradnl" w:eastAsia="ja-JP"/>
        </w:rPr>
      </w:pPr>
    </w:p>
    <w:p w:rsidR="00BB766D" w:rsidRPr="0022687E"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87936" behindDoc="1" locked="0" layoutInCell="1" allowOverlap="1" wp14:anchorId="296DF4C0" wp14:editId="7A53454F">
                <wp:simplePos x="0" y="0"/>
                <wp:positionH relativeFrom="column">
                  <wp:posOffset>70485</wp:posOffset>
                </wp:positionH>
                <wp:positionV relativeFrom="paragraph">
                  <wp:posOffset>130810</wp:posOffset>
                </wp:positionV>
                <wp:extent cx="5612130" cy="389890"/>
                <wp:effectExtent l="0" t="0" r="7620" b="0"/>
                <wp:wrapNone/>
                <wp:docPr id="30" name="Cuadro de texto 30"/>
                <wp:cNvGraphicFramePr/>
                <a:graphic xmlns:a="http://schemas.openxmlformats.org/drawingml/2006/main">
                  <a:graphicData uri="http://schemas.microsoft.com/office/word/2010/wordprocessingShape">
                    <wps:wsp>
                      <wps:cNvSpPr txBox="1"/>
                      <wps:spPr>
                        <a:xfrm>
                          <a:off x="0" y="0"/>
                          <a:ext cx="5612130" cy="389890"/>
                        </a:xfrm>
                        <a:prstGeom prst="rect">
                          <a:avLst/>
                        </a:prstGeom>
                        <a:solidFill>
                          <a:prstClr val="white"/>
                        </a:solidFill>
                        <a:ln>
                          <a:noFill/>
                        </a:ln>
                        <a:effectLst/>
                      </wps:spPr>
                      <wps:txbx>
                        <w:txbxContent>
                          <w:p w:rsidR="00B72383" w:rsidRPr="00EE1F74" w:rsidRDefault="00B72383" w:rsidP="00BB766D">
                            <w:pPr>
                              <w:pStyle w:val="Epgrafe1"/>
                              <w:jc w:val="both"/>
                              <w:rPr>
                                <w:rFonts w:ascii="Arial" w:hAnsi="Arial" w:cs="Arial"/>
                                <w:noProof/>
                              </w:rPr>
                            </w:pPr>
                            <w:r w:rsidRPr="00EE1F74">
                              <w:rPr>
                                <w:rFonts w:ascii="Arial" w:hAnsi="Arial" w:cs="Arial"/>
                              </w:rPr>
                              <w:t xml:space="preserve">Ilustración </w:t>
                            </w:r>
                            <w:r w:rsidRPr="00EE1F74">
                              <w:rPr>
                                <w:rFonts w:ascii="Arial" w:hAnsi="Arial" w:cs="Arial"/>
                              </w:rPr>
                              <w:fldChar w:fldCharType="begin"/>
                            </w:r>
                            <w:r w:rsidRPr="00EE1F74">
                              <w:rPr>
                                <w:rFonts w:ascii="Arial" w:hAnsi="Arial" w:cs="Arial"/>
                              </w:rPr>
                              <w:instrText xml:space="preserve"> </w:instrText>
                            </w:r>
                            <w:r>
                              <w:rPr>
                                <w:rFonts w:ascii="Arial" w:hAnsi="Arial" w:cs="Arial"/>
                              </w:rPr>
                              <w:instrText>SEQ</w:instrText>
                            </w:r>
                            <w:r w:rsidRPr="00EE1F74">
                              <w:rPr>
                                <w:rFonts w:ascii="Arial" w:hAnsi="Arial" w:cs="Arial"/>
                              </w:rPr>
                              <w:instrText xml:space="preserve"> Ilustración \* ARABIC </w:instrText>
                            </w:r>
                            <w:r w:rsidRPr="00EE1F74">
                              <w:rPr>
                                <w:rFonts w:ascii="Arial" w:hAnsi="Arial" w:cs="Arial"/>
                              </w:rPr>
                              <w:fldChar w:fldCharType="separate"/>
                            </w:r>
                            <w:r>
                              <w:rPr>
                                <w:rFonts w:ascii="Arial" w:hAnsi="Arial" w:cs="Arial"/>
                                <w:noProof/>
                              </w:rPr>
                              <w:t>10</w:t>
                            </w:r>
                            <w:r w:rsidRPr="00EE1F74">
                              <w:rPr>
                                <w:rFonts w:ascii="Arial" w:hAnsi="Arial" w:cs="Arial"/>
                              </w:rPr>
                              <w:fldChar w:fldCharType="end"/>
                            </w:r>
                            <w:r w:rsidRPr="00EE1F74">
                              <w:rPr>
                                <w:rFonts w:ascii="Arial" w:hAnsi="Arial" w:cs="Arial"/>
                              </w:rPr>
                              <w:t xml:space="preserve"> Monitoreo de la percepción sobre seguridad en los municipios del Área Metropolitana de Monterrey: ¿Qué tan seguro considera es v</w:t>
                            </w:r>
                            <w:r>
                              <w:rPr>
                                <w:rFonts w:ascii="Arial" w:hAnsi="Arial" w:cs="Arial"/>
                              </w:rPr>
                              <w:t>i</w:t>
                            </w:r>
                            <w:r w:rsidRPr="00EE1F74">
                              <w:rPr>
                                <w:rFonts w:ascii="Arial" w:hAnsi="Arial" w:cs="Arial"/>
                              </w:rPr>
                              <w:t>vir en su municipio</w:t>
                            </w:r>
                            <w:r>
                              <w:rPr>
                                <w:rFonts w:ascii="Arial" w:hAnsi="Arial" w:cs="Arial"/>
                              </w:rPr>
                              <w:t>?</w:t>
                            </w:r>
                            <w:r w:rsidRPr="00EE1F74">
                              <w:rPr>
                                <w:rFonts w:ascii="Arial" w:hAnsi="Arial" w:cs="Arial"/>
                              </w:rPr>
                              <w:t xml:space="preserve"> Fuente: Carrillo Gamboa, Olivia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type w14:anchorId="296DF4C0" id="_x0000_t202" coordsize="21600,21600" o:spt="202" path="m,l,21600r21600,l21600,xe">
                <v:stroke joinstyle="miter"/>
                <v:path gradientshapeok="t" o:connecttype="rect"/>
              </v:shapetype>
              <v:shape id="Cuadro de texto 30" o:spid="_x0000_s1026" type="#_x0000_t202" style="position:absolute;left:0;text-align:left;margin-left:5.55pt;margin-top:10.3pt;width:441.9pt;height:30.7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" stroked="f">
                <v:textbox style="mso-fit-shape-to-text:t" inset="0,0,0,0">
                  <w:txbxContent>
                    <w:p w:rsidR="00B72383" w:rsidRPr="00EE1F74" w:rsidRDefault="00B72383" w:rsidP="00BB766D">
                      <w:pPr>
                        <w:pStyle w:val="Epgrafe1"/>
                        <w:jc w:val="both"/>
                        <w:rPr>
                          <w:rFonts w:ascii="Arial" w:hAnsi="Arial" w:cs="Arial"/>
                          <w:noProof/>
                        </w:rPr>
                      </w:pPr>
                      <w:r w:rsidRPr="00EE1F74">
                        <w:rPr>
                          <w:rFonts w:ascii="Arial" w:hAnsi="Arial" w:cs="Arial"/>
                        </w:rPr>
                        <w:t xml:space="preserve">Ilustración </w:t>
                      </w:r>
                      <w:r w:rsidRPr="00EE1F74">
                        <w:rPr>
                          <w:rFonts w:ascii="Arial" w:hAnsi="Arial" w:cs="Arial"/>
                        </w:rPr>
                        <w:fldChar w:fldCharType="begin"/>
                      </w:r>
                      <w:r w:rsidRPr="00EE1F74">
                        <w:rPr>
                          <w:rFonts w:ascii="Arial" w:hAnsi="Arial" w:cs="Arial"/>
                        </w:rPr>
                        <w:instrText xml:space="preserve"> </w:instrText>
                      </w:r>
                      <w:r>
                        <w:rPr>
                          <w:rFonts w:ascii="Arial" w:hAnsi="Arial" w:cs="Arial"/>
                        </w:rPr>
                        <w:instrText>SEQ</w:instrText>
                      </w:r>
                      <w:r w:rsidRPr="00EE1F74">
                        <w:rPr>
                          <w:rFonts w:ascii="Arial" w:hAnsi="Arial" w:cs="Arial"/>
                        </w:rPr>
                        <w:instrText xml:space="preserve"> Ilustración \* ARABIC </w:instrText>
                      </w:r>
                      <w:r w:rsidRPr="00EE1F74">
                        <w:rPr>
                          <w:rFonts w:ascii="Arial" w:hAnsi="Arial" w:cs="Arial"/>
                        </w:rPr>
                        <w:fldChar w:fldCharType="separate"/>
                      </w:r>
                      <w:r>
                        <w:rPr>
                          <w:rFonts w:ascii="Arial" w:hAnsi="Arial" w:cs="Arial"/>
                          <w:noProof/>
                        </w:rPr>
                        <w:t>10</w:t>
                      </w:r>
                      <w:r w:rsidRPr="00EE1F74">
                        <w:rPr>
                          <w:rFonts w:ascii="Arial" w:hAnsi="Arial" w:cs="Arial"/>
                        </w:rPr>
                        <w:fldChar w:fldCharType="end"/>
                      </w:r>
                      <w:r w:rsidRPr="00EE1F74">
                        <w:rPr>
                          <w:rFonts w:ascii="Arial" w:hAnsi="Arial" w:cs="Arial"/>
                        </w:rPr>
                        <w:t xml:space="preserve"> Monitoreo de la percepción sobre seguridad en los municipios del Área Metropolitana de Monterrey: ¿Qué tan seguro considera es v</w:t>
                      </w:r>
                      <w:r>
                        <w:rPr>
                          <w:rFonts w:ascii="Arial" w:hAnsi="Arial" w:cs="Arial"/>
                        </w:rPr>
                        <w:t>i</w:t>
                      </w:r>
                      <w:r w:rsidRPr="00EE1F74">
                        <w:rPr>
                          <w:rFonts w:ascii="Arial" w:hAnsi="Arial" w:cs="Arial"/>
                        </w:rPr>
                        <w:t>vir en su municipio</w:t>
                      </w:r>
                      <w:r>
                        <w:rPr>
                          <w:rFonts w:ascii="Arial" w:hAnsi="Arial" w:cs="Arial"/>
                        </w:rPr>
                        <w:t>?</w:t>
                      </w:r>
                      <w:r w:rsidRPr="00EE1F74">
                        <w:rPr>
                          <w:rFonts w:ascii="Arial" w:hAnsi="Arial" w:cs="Arial"/>
                        </w:rPr>
                        <w:t xml:space="preserve"> Fuente: Carrillo Gamboa, Olivia et al., 2013.</w:t>
                      </w:r>
                    </w:p>
                  </w:txbxContent>
                </v:textbox>
              </v:shape>
            </w:pict>
          </mc:Fallback>
        </mc:AlternateContent>
      </w:r>
    </w:p>
    <w:p w:rsidR="00BB766D" w:rsidRDefault="00BB766D" w:rsidP="0022687E">
      <w:pPr>
        <w:spacing w:after="200" w:line="360" w:lineRule="auto"/>
        <w:jc w:val="both"/>
        <w:rPr>
          <w:rFonts w:ascii="Arial" w:eastAsia="MS Mincho" w:hAnsi="Arial" w:cs="Arial"/>
          <w:lang w:val="es-ES_tradnl" w:eastAsia="ja-JP"/>
        </w:rPr>
      </w:pPr>
    </w:p>
    <w:p w:rsidR="00AA1BF0" w:rsidRDefault="00AA1BF0"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Por otra parte, el 9% de los ciudadanos en Monterrey manifestaron que tienen mucha confianza en la Policía Municipal, 44% tienen algo de confianza, en contraste con el 47% que tienen nada de confianza (</w:t>
      </w:r>
      <w:r w:rsidRPr="00B72383">
        <w:rPr>
          <w:rFonts w:ascii="Arial" w:eastAsia="MS Mincho" w:hAnsi="Arial" w:cs="Arial"/>
          <w:sz w:val="22"/>
          <w:szCs w:val="22"/>
          <w:lang w:eastAsia="ja-JP"/>
        </w:rPr>
        <w:t>Carrillo Gamboa, Olivia, et. al, 2013)</w:t>
      </w:r>
      <w:r w:rsidRPr="00B72383">
        <w:rPr>
          <w:rFonts w:ascii="Arial" w:eastAsia="MS Mincho" w:hAnsi="Arial" w:cs="Arial"/>
          <w:sz w:val="22"/>
          <w:szCs w:val="22"/>
          <w:lang w:val="es-ES_tradnl" w:eastAsia="ja-JP"/>
        </w:rPr>
        <w:t xml:space="preserve">: </w:t>
      </w:r>
    </w:p>
    <w:p w:rsidR="00FF6E49" w:rsidRDefault="00FF6E4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lastRenderedPageBreak/>
        <w:drawing>
          <wp:anchor distT="0" distB="0" distL="114300" distR="114300" simplePos="0" relativeHeight="251671552" behindDoc="1" locked="0" layoutInCell="1" allowOverlap="1" wp14:anchorId="49657F6A" wp14:editId="55D5CEC9">
            <wp:simplePos x="0" y="0"/>
            <wp:positionH relativeFrom="margin">
              <wp:posOffset>386715</wp:posOffset>
            </wp:positionH>
            <wp:positionV relativeFrom="paragraph">
              <wp:posOffset>194945</wp:posOffset>
            </wp:positionV>
            <wp:extent cx="5184775" cy="3825875"/>
            <wp:effectExtent l="0" t="0" r="0" b="317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184775" cy="3825875"/>
                    </a:xfrm>
                    <a:prstGeom prst="rect">
                      <a:avLst/>
                    </a:prstGeom>
                  </pic:spPr>
                </pic:pic>
              </a:graphicData>
            </a:graphic>
            <wp14:sizeRelH relativeFrom="margin">
              <wp14:pctWidth>0</wp14:pctWidth>
            </wp14:sizeRelH>
            <wp14:sizeRelV relativeFrom="margin">
              <wp14:pctHeight>0</wp14:pctHeight>
            </wp14:sizeRelV>
          </wp:anchor>
        </w:drawing>
      </w: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72576" behindDoc="1" locked="0" layoutInCell="1" allowOverlap="1" wp14:anchorId="3BF7A081" wp14:editId="25D54E8E">
                <wp:simplePos x="0" y="0"/>
                <wp:positionH relativeFrom="column">
                  <wp:posOffset>253365</wp:posOffset>
                </wp:positionH>
                <wp:positionV relativeFrom="paragraph">
                  <wp:posOffset>353060</wp:posOffset>
                </wp:positionV>
                <wp:extent cx="5184775" cy="528955"/>
                <wp:effectExtent l="0" t="0" r="0" b="4445"/>
                <wp:wrapNone/>
                <wp:docPr id="161" name="Cuadro de texto 161"/>
                <wp:cNvGraphicFramePr/>
                <a:graphic xmlns:a="http://schemas.openxmlformats.org/drawingml/2006/main">
                  <a:graphicData uri="http://schemas.microsoft.com/office/word/2010/wordprocessingShape">
                    <wps:wsp>
                      <wps:cNvSpPr txBox="1"/>
                      <wps:spPr>
                        <a:xfrm>
                          <a:off x="0" y="0"/>
                          <a:ext cx="5184775" cy="528955"/>
                        </a:xfrm>
                        <a:prstGeom prst="rect">
                          <a:avLst/>
                        </a:prstGeom>
                        <a:solidFill>
                          <a:prstClr val="white"/>
                        </a:solidFill>
                        <a:ln>
                          <a:noFill/>
                        </a:ln>
                        <a:effectLst/>
                      </wps:spPr>
                      <wps:txbx>
                        <w:txbxContent>
                          <w:p w:rsidR="00B72383" w:rsidRDefault="00B72383" w:rsidP="0022687E">
                            <w:pPr>
                              <w:pStyle w:val="Epgrafe1"/>
                              <w:jc w:val="both"/>
                              <w:rPr>
                                <w:noProof/>
                              </w:rPr>
                            </w:pPr>
                            <w:r>
                              <w:t xml:space="preserve">Ilustración </w:t>
                            </w:r>
                            <w:r w:rsidR="00360F96">
                              <w:fldChar w:fldCharType="begin"/>
                            </w:r>
                            <w:r w:rsidR="00360F96">
                              <w:instrText xml:space="preserve"> SEQ Ilustración \* ARABIC </w:instrText>
                            </w:r>
                            <w:r w:rsidR="00360F96">
                              <w:fldChar w:fldCharType="separate"/>
                            </w:r>
                            <w:r>
                              <w:rPr>
                                <w:noProof/>
                              </w:rPr>
                              <w:t>11</w:t>
                            </w:r>
                            <w:r w:rsidR="00360F96">
                              <w:rPr>
                                <w:noProof/>
                              </w:rPr>
                              <w:fldChar w:fldCharType="end"/>
                            </w:r>
                            <w:r>
                              <w:t xml:space="preserve"> Monitoreo de la Percepción sobre Seguridad en los municipios del Área Metropolitana de Monterrey: ¿cuánta confianza le tiene a la Policía de su Municipio? Fuente: Carrillo Gamboa, Olivia, et. </w:t>
                            </w:r>
                            <w:proofErr w:type="gramStart"/>
                            <w:r>
                              <w:t>al</w:t>
                            </w:r>
                            <w:proofErr w:type="gramEnd"/>
                            <w:r>
                              <w: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BF7A081" id="Cuadro de texto 161" o:spid="_x0000_s1027" type="#_x0000_t202" style="position:absolute;left:0;text-align:left;margin-left:19.95pt;margin-top:27.8pt;width:408.25pt;height:41.6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" stroked="f">
                <v:textbox style="mso-fit-shape-to-text:t" inset="0,0,0,0">
                  <w:txbxContent>
                    <w:p w:rsidR="00B72383" w:rsidRDefault="00B72383" w:rsidP="0022687E">
                      <w:pPr>
                        <w:pStyle w:val="Epgrafe1"/>
                        <w:jc w:val="both"/>
                        <w:rPr>
                          <w:noProof/>
                        </w:rPr>
                      </w:pPr>
                      <w:r>
                        <w:t xml:space="preserve">Ilustración </w:t>
                      </w:r>
                      <w:fldSimple w:instr=" SEQ Ilustración \* ARABIC ">
                        <w:r>
                          <w:rPr>
                            <w:noProof/>
                          </w:rPr>
                          <w:t>11</w:t>
                        </w:r>
                      </w:fldSimple>
                      <w:r>
                        <w:t xml:space="preserve"> Monitoreo de la Percepción sobre Seguridad en los municipios del Área Metropolitana de Monterrey: ¿cuánta confianza le tiene a la Policía de su Municipio? Fuente: Carrillo Gamboa, Olivia, et. al, 2013..</w:t>
                      </w:r>
                    </w:p>
                  </w:txbxContent>
                </v:textbox>
              </v:shape>
            </w:pict>
          </mc:Fallback>
        </mc:AlternateContent>
      </w:r>
    </w:p>
    <w:p w:rsidR="00BB766D" w:rsidRDefault="00BB766D" w:rsidP="0022687E">
      <w:pPr>
        <w:spacing w:after="200" w:line="360" w:lineRule="auto"/>
        <w:jc w:val="both"/>
        <w:rPr>
          <w:rFonts w:ascii="Arial" w:eastAsia="MS Mincho" w:hAnsi="Arial" w:cs="Arial"/>
          <w:lang w:val="es-ES_tradnl" w:eastAsia="ja-JP"/>
        </w:rPr>
      </w:pPr>
    </w:p>
    <w:p w:rsidR="003F7B87" w:rsidRDefault="003F7B87" w:rsidP="0022687E">
      <w:pPr>
        <w:spacing w:after="200" w:line="360" w:lineRule="auto"/>
        <w:jc w:val="both"/>
        <w:rPr>
          <w:rFonts w:ascii="Arial" w:eastAsia="MS Mincho" w:hAnsi="Arial" w:cs="Arial"/>
          <w:lang w:val="es-ES_tradnl" w:eastAsia="ja-JP"/>
        </w:rPr>
      </w:pPr>
    </w:p>
    <w:p w:rsidR="00AA1BF0" w:rsidRDefault="00AA1BF0"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Como respuesta a tales percepciones generalizadas, el programa </w:t>
      </w:r>
      <w:r w:rsidRPr="00B72383">
        <w:rPr>
          <w:rFonts w:ascii="Arial" w:eastAsia="MS Mincho" w:hAnsi="Arial" w:cs="Arial"/>
          <w:i/>
          <w:sz w:val="22"/>
          <w:szCs w:val="22"/>
          <w:lang w:val="es-ES_tradnl" w:eastAsia="ja-JP"/>
        </w:rPr>
        <w:t>“Comisarías”</w:t>
      </w:r>
      <w:r w:rsidRPr="00B72383">
        <w:rPr>
          <w:rFonts w:ascii="Arial" w:eastAsia="MS Mincho" w:hAnsi="Arial" w:cs="Arial"/>
          <w:sz w:val="22"/>
          <w:szCs w:val="22"/>
          <w:lang w:val="es-ES_tradnl" w:eastAsia="ja-JP"/>
        </w:rPr>
        <w:t xml:space="preserve"> de la Subsecretaría de Prevención y Participación Ciudadana en el Estado de Nuevo León (SPPCNL), conforme a lo establecido por el Programa Sectorial de Seguridad Pública y en coordinación con dependencias federales, estatales, municipales y de participación ciudadana (SPPCNL, s. f.): </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lastRenderedPageBreak/>
        <w:t xml:space="preserve">Elabora y ejecuta programas para prevenir el consumo de drogas en niños y jóvenes; </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Crea un ambiente de seguridad y convivencia dentro y fuera de las escuelas; genera una cultura de paz dentro de la comunidad educativa;</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Promueve la creación de grupos de mujeres activas que se conviertan en agentes de cambio social positivo; </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Desarrolla conferencias, actividades recreativas de prevención para atención a jóvenes de 12 a 20 años, y</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Brinda seguridad y atención integral a los ciudadanos que viven en una situación de victimización.</w:t>
      </w:r>
    </w:p>
    <w:p w:rsidR="003F7B87" w:rsidRPr="00B72383" w:rsidRDefault="003F7B87" w:rsidP="0022687E">
      <w:pPr>
        <w:spacing w:after="200" w:line="360" w:lineRule="auto"/>
        <w:jc w:val="both"/>
        <w:rPr>
          <w:rFonts w:ascii="Arial" w:eastAsia="MS Mincho" w:hAnsi="Arial" w:cs="Arial"/>
          <w:sz w:val="22"/>
          <w:szCs w:val="22"/>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Por cuanto hace a materia de tránsito y vialidad, uno de los rubros importantes a tratar es el grado de confianza con el que los ciudadanos perciben a Tránsito Municipal. Conforme a estudios realizados en 2013, el 6.5% de los regiomontanos manifestaron tener mucha confianza en la institución, 45.5% mencionaron tener algo de confianza, mientras que el 46% indicó tener nada de confianza, según los datos que se pueden observar en la siguiente gráfica (</w:t>
      </w:r>
      <w:r w:rsidRPr="00B72383">
        <w:rPr>
          <w:rFonts w:ascii="Arial" w:eastAsia="MS Mincho" w:hAnsi="Arial" w:cs="Arial"/>
          <w:sz w:val="22"/>
          <w:szCs w:val="22"/>
          <w:lang w:eastAsia="ja-JP"/>
        </w:rPr>
        <w:t>Carrillo Gamboa, Olivia, et. al, 2013)</w:t>
      </w:r>
      <w:r w:rsidRPr="00B72383">
        <w:rPr>
          <w:rFonts w:ascii="Arial" w:eastAsia="MS Mincho" w:hAnsi="Arial" w:cs="Arial"/>
          <w:sz w:val="22"/>
          <w:szCs w:val="22"/>
          <w:lang w:val="es-ES_tradnl" w:eastAsia="ja-JP"/>
        </w:rPr>
        <w:t xml:space="preserve">: </w:t>
      </w:r>
    </w:p>
    <w:p w:rsidR="003F7B87" w:rsidRDefault="003F7B87"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3F7B87" w:rsidRDefault="003F7B87" w:rsidP="0022687E">
      <w:pPr>
        <w:spacing w:after="200" w:line="360" w:lineRule="auto"/>
        <w:jc w:val="both"/>
        <w:rPr>
          <w:rFonts w:ascii="Arial" w:eastAsia="MS Mincho" w:hAnsi="Arial" w:cs="Arial"/>
          <w:lang w:val="es-ES_tradnl" w:eastAsia="ja-JP"/>
        </w:rPr>
      </w:pPr>
    </w:p>
    <w:p w:rsidR="003F7B87" w:rsidRDefault="003F7B87" w:rsidP="0022687E">
      <w:pPr>
        <w:spacing w:after="200" w:line="360" w:lineRule="auto"/>
        <w:jc w:val="both"/>
        <w:rPr>
          <w:rFonts w:ascii="Arial" w:eastAsia="MS Mincho" w:hAnsi="Arial" w:cs="Arial"/>
          <w:lang w:val="es-ES_tradnl" w:eastAsia="ja-JP"/>
        </w:rPr>
      </w:pPr>
    </w:p>
    <w:p w:rsidR="003F7B87" w:rsidRPr="0022687E" w:rsidRDefault="00B72383"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lastRenderedPageBreak/>
        <w:drawing>
          <wp:anchor distT="0" distB="0" distL="114300" distR="114300" simplePos="0" relativeHeight="251660288" behindDoc="1" locked="0" layoutInCell="1" allowOverlap="1" wp14:anchorId="036D8AB6" wp14:editId="1C6F2B08">
            <wp:simplePos x="0" y="0"/>
            <wp:positionH relativeFrom="column">
              <wp:posOffset>53340</wp:posOffset>
            </wp:positionH>
            <wp:positionV relativeFrom="paragraph">
              <wp:posOffset>391160</wp:posOffset>
            </wp:positionV>
            <wp:extent cx="5612130" cy="3800475"/>
            <wp:effectExtent l="0" t="0" r="7620" b="952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612130" cy="3800475"/>
                    </a:xfrm>
                    <a:prstGeom prst="rect">
                      <a:avLst/>
                    </a:prstGeom>
                  </pic:spPr>
                </pic:pic>
              </a:graphicData>
            </a:graphic>
            <wp14:sizeRelV relativeFrom="margin">
              <wp14:pctHeight>0</wp14:pctHeight>
            </wp14:sizeRelV>
          </wp:anchor>
        </w:drawing>
      </w:r>
    </w:p>
    <w:p w:rsidR="0022687E" w:rsidRPr="0022687E" w:rsidRDefault="0022687E"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82816" behindDoc="1" locked="0" layoutInCell="1" allowOverlap="1" wp14:anchorId="0086558B" wp14:editId="3C8C54D1">
                <wp:simplePos x="0" y="0"/>
                <wp:positionH relativeFrom="column">
                  <wp:posOffset>251460</wp:posOffset>
                </wp:positionH>
                <wp:positionV relativeFrom="paragraph">
                  <wp:posOffset>34290</wp:posOffset>
                </wp:positionV>
                <wp:extent cx="5612130" cy="394970"/>
                <wp:effectExtent l="0" t="0" r="7620" b="5080"/>
                <wp:wrapNone/>
                <wp:docPr id="166" name="Cuadro de texto 166"/>
                <wp:cNvGraphicFramePr/>
                <a:graphic xmlns:a="http://schemas.openxmlformats.org/drawingml/2006/main">
                  <a:graphicData uri="http://schemas.microsoft.com/office/word/2010/wordprocessingShape">
                    <wps:wsp>
                      <wps:cNvSpPr txBox="1"/>
                      <wps:spPr>
                        <a:xfrm>
                          <a:off x="0" y="0"/>
                          <a:ext cx="5612130" cy="394970"/>
                        </a:xfrm>
                        <a:prstGeom prst="rect">
                          <a:avLst/>
                        </a:prstGeom>
                        <a:solidFill>
                          <a:prstClr val="white"/>
                        </a:solidFill>
                        <a:ln>
                          <a:noFill/>
                        </a:ln>
                        <a:effectLst/>
                      </wps:spPr>
                      <wps:txbx>
                        <w:txbxContent>
                          <w:p w:rsidR="00B72383" w:rsidRDefault="00B72383" w:rsidP="001966E9">
                            <w:pPr>
                              <w:pStyle w:val="Epgrafe1"/>
                              <w:rPr>
                                <w:noProof/>
                              </w:rPr>
                            </w:pPr>
                            <w:r>
                              <w:t xml:space="preserve">Ilustración </w:t>
                            </w:r>
                            <w:r w:rsidR="00360F96">
                              <w:fldChar w:fldCharType="begin"/>
                            </w:r>
                            <w:r w:rsidR="00360F96">
                              <w:instrText xml:space="preserve"> SEQ Ilustración \* ARABIC </w:instrText>
                            </w:r>
                            <w:r w:rsidR="00360F96">
                              <w:fldChar w:fldCharType="separate"/>
                            </w:r>
                            <w:r>
                              <w:rPr>
                                <w:noProof/>
                              </w:rPr>
                              <w:t>12</w:t>
                            </w:r>
                            <w:r w:rsidR="00360F96">
                              <w:rPr>
                                <w:noProof/>
                              </w:rPr>
                              <w:fldChar w:fldCharType="end"/>
                            </w:r>
                            <w:r>
                              <w:t xml:space="preserve"> Monitoreo de la percepción sobre seguridad en los municipios del Área Metropolitana de Monterrey: ¿Cuánta confianza le tiene al tránsito de su municipio? Fuente: Carrillo Gamboa, Olivia, et. </w:t>
                            </w:r>
                            <w:proofErr w:type="gramStart"/>
                            <w:r>
                              <w:t>al</w:t>
                            </w:r>
                            <w:proofErr w:type="gramEnd"/>
                            <w:r>
                              <w: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086558B" id="Cuadro de texto 166" o:spid="_x0000_s1028" type="#_x0000_t202" style="position:absolute;left:0;text-align:left;margin-left:19.8pt;margin-top:2.7pt;width:441.9pt;height:31.1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" stroked="f">
                <v:textbox style="mso-fit-shape-to-text:t" inset="0,0,0,0">
                  <w:txbxContent>
                    <w:p w:rsidR="00B72383" w:rsidRDefault="00B72383" w:rsidP="001966E9">
                      <w:pPr>
                        <w:pStyle w:val="Epgrafe1"/>
                        <w:rPr>
                          <w:noProof/>
                        </w:rPr>
                      </w:pPr>
                      <w:r>
                        <w:t xml:space="preserve">Ilustración </w:t>
                      </w:r>
                      <w:fldSimple w:instr=" SEQ Ilustración \* ARABIC ">
                        <w:r>
                          <w:rPr>
                            <w:noProof/>
                          </w:rPr>
                          <w:t>12</w:t>
                        </w:r>
                      </w:fldSimple>
                      <w:r>
                        <w:t xml:space="preserve"> Monitoreo de la percepción sobre seguridad en los municipios del Área Metropolitana de Monterrey: ¿Cuánta confianza le tiene al tránsito de su municipio? Fuente: Carrillo Gamboa, Olivia, et. al, 2013.</w:t>
                      </w:r>
                    </w:p>
                  </w:txbxContent>
                </v:textbox>
              </v:shape>
            </w:pict>
          </mc:Fallback>
        </mc:AlternateContent>
      </w:r>
    </w:p>
    <w:p w:rsidR="00AA1BF0" w:rsidRDefault="00AA1BF0"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Asimismo, se debe atender la problemática en cuanto a los accidentes viales, pues ellos se traducen en fallecimientos, lesiones, atascos viales o daños al patrimonio municipal. </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Según datos estadísticos, en el año 2014 se registraron en Monterrey un total de 32,944 accidentes de tránsito terrestre (INEGI, s. f. d). Esta cifra ha sido la más alta en los últimos diez años, tal como se puede apreciar en la siguiente gráfica: </w:t>
      </w:r>
    </w:p>
    <w:p w:rsidR="00AA1BF0" w:rsidRDefault="00AA1BF0"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lastRenderedPageBreak/>
        <mc:AlternateContent>
          <mc:Choice Requires="wps">
            <w:drawing>
              <wp:anchor distT="0" distB="0" distL="114300" distR="114300" simplePos="0" relativeHeight="251676672" behindDoc="0" locked="0" layoutInCell="1" allowOverlap="1" wp14:anchorId="0F07048E" wp14:editId="1B4670CA">
                <wp:simplePos x="0" y="0"/>
                <wp:positionH relativeFrom="column">
                  <wp:posOffset>146050</wp:posOffset>
                </wp:positionH>
                <wp:positionV relativeFrom="paragraph">
                  <wp:posOffset>4084955</wp:posOffset>
                </wp:positionV>
                <wp:extent cx="5612130" cy="258445"/>
                <wp:effectExtent l="0" t="0" r="7620" b="8255"/>
                <wp:wrapSquare wrapText="bothSides"/>
                <wp:docPr id="167" name="Cuadro de texto 167"/>
                <wp:cNvGraphicFramePr/>
                <a:graphic xmlns:a="http://schemas.openxmlformats.org/drawingml/2006/main">
                  <a:graphicData uri="http://schemas.microsoft.com/office/word/2010/wordprocessingShape">
                    <wps:wsp>
                      <wps:cNvSpPr txBox="1"/>
                      <wps:spPr>
                        <a:xfrm>
                          <a:off x="0" y="0"/>
                          <a:ext cx="5612130" cy="258445"/>
                        </a:xfrm>
                        <a:prstGeom prst="rect">
                          <a:avLst/>
                        </a:prstGeom>
                        <a:solidFill>
                          <a:prstClr val="white"/>
                        </a:solidFill>
                        <a:ln>
                          <a:noFill/>
                        </a:ln>
                        <a:effectLst/>
                      </wps:spPr>
                      <wps:txbx>
                        <w:txbxContent>
                          <w:p w:rsidR="00B72383" w:rsidRPr="00F40C39" w:rsidRDefault="00B72383" w:rsidP="0022687E">
                            <w:pPr>
                              <w:pStyle w:val="Epgrafe1"/>
                              <w:rPr>
                                <w:rFonts w:ascii="Arial" w:hAnsi="Arial" w:cs="Arial"/>
                                <w:noProof/>
                              </w:rPr>
                            </w:pPr>
                            <w:r w:rsidRPr="00F40C39">
                              <w:rPr>
                                <w:rFonts w:ascii="Arial" w:hAnsi="Arial" w:cs="Arial"/>
                              </w:rPr>
                              <w:t xml:space="preserve">Gráfica </w:t>
                            </w:r>
                            <w:r w:rsidRPr="00F40C39">
                              <w:rPr>
                                <w:rFonts w:ascii="Arial" w:hAnsi="Arial" w:cs="Arial"/>
                              </w:rPr>
                              <w:fldChar w:fldCharType="begin"/>
                            </w:r>
                            <w:r w:rsidRPr="00F40C39">
                              <w:rPr>
                                <w:rFonts w:ascii="Arial" w:hAnsi="Arial" w:cs="Arial"/>
                              </w:rPr>
                              <w:instrText xml:space="preserve"> </w:instrText>
                            </w:r>
                            <w:r>
                              <w:rPr>
                                <w:rFonts w:ascii="Arial" w:hAnsi="Arial" w:cs="Arial"/>
                              </w:rPr>
                              <w:instrText>SEQ</w:instrText>
                            </w:r>
                            <w:r w:rsidRPr="00F40C39">
                              <w:rPr>
                                <w:rFonts w:ascii="Arial" w:hAnsi="Arial" w:cs="Arial"/>
                              </w:rPr>
                              <w:instrText xml:space="preserve"> Gráfica \* ARABIC </w:instrText>
                            </w:r>
                            <w:r w:rsidRPr="00F40C39">
                              <w:rPr>
                                <w:rFonts w:ascii="Arial" w:hAnsi="Arial" w:cs="Arial"/>
                              </w:rPr>
                              <w:fldChar w:fldCharType="separate"/>
                            </w:r>
                            <w:r>
                              <w:rPr>
                                <w:rFonts w:ascii="Arial" w:hAnsi="Arial" w:cs="Arial"/>
                                <w:noProof/>
                              </w:rPr>
                              <w:t>4</w:t>
                            </w:r>
                            <w:r w:rsidRPr="00F40C39">
                              <w:rPr>
                                <w:rFonts w:ascii="Arial" w:hAnsi="Arial" w:cs="Arial"/>
                              </w:rPr>
                              <w:fldChar w:fldCharType="end"/>
                            </w:r>
                            <w:r w:rsidRPr="00F40C39">
                              <w:rPr>
                                <w:rFonts w:ascii="Arial" w:hAnsi="Arial" w:cs="Arial"/>
                              </w:rPr>
                              <w:t xml:space="preserve"> Accidentes de tránsito en Monterrey (2004-2014).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07048E" id="Cuadro de texto 167" o:spid="_x0000_s1029" type="#_x0000_t202" style="position:absolute;left:0;text-align:left;margin-left:11.5pt;margin-top:321.65pt;width:441.9pt;height:20.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" stroked="f">
                <v:textbox style="mso-fit-shape-to-text:t" inset="0,0,0,0">
                  <w:txbxContent>
                    <w:p w:rsidR="00B72383" w:rsidRPr="00F40C39" w:rsidRDefault="00B72383" w:rsidP="0022687E">
                      <w:pPr>
                        <w:pStyle w:val="Epgrafe1"/>
                        <w:rPr>
                          <w:rFonts w:ascii="Arial" w:hAnsi="Arial" w:cs="Arial"/>
                          <w:noProof/>
                        </w:rPr>
                      </w:pPr>
                      <w:r w:rsidRPr="00F40C39">
                        <w:rPr>
                          <w:rFonts w:ascii="Arial" w:hAnsi="Arial" w:cs="Arial"/>
                        </w:rPr>
                        <w:t xml:space="preserve">Gráfica </w:t>
                      </w:r>
                      <w:r w:rsidRPr="00F40C39">
                        <w:rPr>
                          <w:rFonts w:ascii="Arial" w:hAnsi="Arial" w:cs="Arial"/>
                        </w:rPr>
                        <w:fldChar w:fldCharType="begin"/>
                      </w:r>
                      <w:r w:rsidRPr="00F40C39">
                        <w:rPr>
                          <w:rFonts w:ascii="Arial" w:hAnsi="Arial" w:cs="Arial"/>
                        </w:rPr>
                        <w:instrText xml:space="preserve"> </w:instrText>
                      </w:r>
                      <w:r>
                        <w:rPr>
                          <w:rFonts w:ascii="Arial" w:hAnsi="Arial" w:cs="Arial"/>
                        </w:rPr>
                        <w:instrText>SEQ</w:instrText>
                      </w:r>
                      <w:r w:rsidRPr="00F40C39">
                        <w:rPr>
                          <w:rFonts w:ascii="Arial" w:hAnsi="Arial" w:cs="Arial"/>
                        </w:rPr>
                        <w:instrText xml:space="preserve"> Gráfica \* ARABIC </w:instrText>
                      </w:r>
                      <w:r w:rsidRPr="00F40C39">
                        <w:rPr>
                          <w:rFonts w:ascii="Arial" w:hAnsi="Arial" w:cs="Arial"/>
                        </w:rPr>
                        <w:fldChar w:fldCharType="separate"/>
                      </w:r>
                      <w:r>
                        <w:rPr>
                          <w:rFonts w:ascii="Arial" w:hAnsi="Arial" w:cs="Arial"/>
                          <w:noProof/>
                        </w:rPr>
                        <w:t>4</w:t>
                      </w:r>
                      <w:r w:rsidRPr="00F40C39">
                        <w:rPr>
                          <w:rFonts w:ascii="Arial" w:hAnsi="Arial" w:cs="Arial"/>
                        </w:rPr>
                        <w:fldChar w:fldCharType="end"/>
                      </w:r>
                      <w:r w:rsidRPr="00F40C39">
                        <w:rPr>
                          <w:rFonts w:ascii="Arial" w:hAnsi="Arial" w:cs="Arial"/>
                        </w:rPr>
                        <w:t xml:space="preserve"> Accidentes de tránsito en Monterrey (2004-2014).</w:t>
                      </w:r>
                    </w:p>
                  </w:txbxContent>
                </v:textbox>
                <w10:wrap type="square"/>
              </v:shape>
            </w:pict>
          </mc:Fallback>
        </mc:AlternateContent>
      </w:r>
      <w:r w:rsidR="001966E9" w:rsidRPr="0022687E">
        <w:rPr>
          <w:rFonts w:ascii="Arial" w:eastAsia="MS Mincho" w:hAnsi="Arial" w:cs="Arial"/>
          <w:noProof/>
          <w:lang w:val="es-MX" w:eastAsia="es-MX"/>
        </w:rPr>
        <w:drawing>
          <wp:anchor distT="0" distB="0" distL="114300" distR="114300" simplePos="0" relativeHeight="251673600" behindDoc="0" locked="0" layoutInCell="1" allowOverlap="1" wp14:anchorId="4CF4CDB5" wp14:editId="668465DA">
            <wp:simplePos x="0" y="0"/>
            <wp:positionH relativeFrom="column">
              <wp:posOffset>256540</wp:posOffset>
            </wp:positionH>
            <wp:positionV relativeFrom="paragraph">
              <wp:posOffset>78740</wp:posOffset>
            </wp:positionV>
            <wp:extent cx="5612130" cy="3924935"/>
            <wp:effectExtent l="0" t="0" r="26670" b="18415"/>
            <wp:wrapSquare wrapText="bothSides"/>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Aunado a lo anterior, en materia de percepción ciudadana, el 70% de la población de Monterrey considera que más de la mitad de los ciudadanos son corruptos, el 54% estima que la ciudad es menos segura que en 2010 (Encuesta de Cultura Ciudadana, </w:t>
      </w:r>
      <w:proofErr w:type="spellStart"/>
      <w:r w:rsidRPr="00B72383">
        <w:rPr>
          <w:rFonts w:ascii="Arial" w:eastAsia="MS Mincho" w:hAnsi="Arial" w:cs="Arial"/>
          <w:sz w:val="22"/>
          <w:szCs w:val="22"/>
          <w:lang w:val="es-ES_tradnl" w:eastAsia="ja-JP"/>
        </w:rPr>
        <w:t>Corpovisionarios</w:t>
      </w:r>
      <w:proofErr w:type="spellEnd"/>
      <w:r w:rsidRPr="00B72383">
        <w:rPr>
          <w:rFonts w:ascii="Arial" w:eastAsia="MS Mincho" w:hAnsi="Arial" w:cs="Arial"/>
          <w:sz w:val="22"/>
          <w:szCs w:val="22"/>
          <w:lang w:val="es-ES_tradnl" w:eastAsia="ja-JP"/>
        </w:rPr>
        <w:t xml:space="preserve">, Monterrey, Nuevo León, México. 2012), mientras que el 56% dice que si no se aplican castigos, denunciar a una persona por quebrantar una ley es inútil (Estudio sobre Cultura de la Legalidad y estado de derecho en Monterrey y área metropolitana, </w:t>
      </w:r>
      <w:proofErr w:type="spellStart"/>
      <w:r w:rsidRPr="00B72383">
        <w:rPr>
          <w:rFonts w:ascii="Arial" w:eastAsia="MS Mincho" w:hAnsi="Arial" w:cs="Arial"/>
          <w:sz w:val="22"/>
          <w:szCs w:val="22"/>
          <w:lang w:val="es-ES_tradnl" w:eastAsia="ja-JP"/>
        </w:rPr>
        <w:t>Coparmex</w:t>
      </w:r>
      <w:proofErr w:type="spellEnd"/>
      <w:r w:rsidRPr="00B72383">
        <w:rPr>
          <w:rFonts w:ascii="Arial" w:eastAsia="MS Mincho" w:hAnsi="Arial" w:cs="Arial"/>
          <w:sz w:val="22"/>
          <w:szCs w:val="22"/>
          <w:lang w:val="es-ES_tradnl" w:eastAsia="ja-JP"/>
        </w:rPr>
        <w:t>, Nuevo León, 2013).</w:t>
      </w:r>
    </w:p>
    <w:p w:rsidR="001966E9" w:rsidRDefault="001966E9">
      <w:pPr>
        <w:spacing w:after="200" w:line="276" w:lineRule="auto"/>
        <w:rPr>
          <w:rFonts w:ascii="Arial" w:eastAsia="MS Mincho" w:hAnsi="Arial" w:cs="Arial"/>
          <w:lang w:val="es-ES_tradnl" w:eastAsia="ja-JP"/>
        </w:rPr>
      </w:pPr>
      <w:r>
        <w:rPr>
          <w:rFonts w:ascii="Arial" w:eastAsia="MS Mincho" w:hAnsi="Arial" w:cs="Arial"/>
          <w:lang w:val="es-ES_tradnl" w:eastAsia="ja-JP"/>
        </w:rPr>
        <w:br w:type="page"/>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color w:val="C0504D"/>
          <w:sz w:val="40"/>
          <w:szCs w:val="40"/>
          <w:lang w:val="es-ES_tradnl" w:eastAsia="ja-JP"/>
        </w:rPr>
      </w:pPr>
      <w:r w:rsidRPr="0022687E">
        <w:rPr>
          <w:rFonts w:ascii="Arial" w:eastAsia="MS Mincho" w:hAnsi="Arial" w:cs="Arial"/>
          <w:b/>
          <w:bCs/>
          <w:color w:val="C0504D"/>
          <w:sz w:val="40"/>
          <w:szCs w:val="40"/>
          <w:lang w:val="es-MX" w:eastAsia="ja-JP"/>
        </w:rPr>
        <w:lastRenderedPageBreak/>
        <w:t>Visión</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bCs/>
          <w:sz w:val="22"/>
          <w:szCs w:val="22"/>
          <w:lang w:val="es-MX" w:eastAsia="ja-JP"/>
        </w:rPr>
      </w:pPr>
      <w:r w:rsidRPr="00B72383">
        <w:rPr>
          <w:rFonts w:ascii="Arial" w:eastAsia="MS Mincho" w:hAnsi="Arial" w:cs="Arial"/>
          <w:bCs/>
          <w:sz w:val="22"/>
          <w:szCs w:val="22"/>
          <w:lang w:val="es-MX" w:eastAsia="ja-JP"/>
        </w:rPr>
        <w:t xml:space="preserve">Transformar el gobierno municipal para que proporcione a la sociedad regiomontana confianza, </w:t>
      </w:r>
      <w:r w:rsidRPr="00B72383">
        <w:rPr>
          <w:rFonts w:ascii="Arial" w:eastAsia="MS Mincho" w:hAnsi="Arial" w:cs="Arial"/>
          <w:bCs/>
          <w:i/>
          <w:iCs/>
          <w:sz w:val="22"/>
          <w:szCs w:val="22"/>
          <w:lang w:val="es-MX" w:eastAsia="ja-JP"/>
        </w:rPr>
        <w:t>seguridad</w:t>
      </w:r>
      <w:r w:rsidRPr="00B72383">
        <w:rPr>
          <w:rFonts w:ascii="Arial" w:eastAsia="MS Mincho" w:hAnsi="Arial" w:cs="Arial"/>
          <w:bCs/>
          <w:sz w:val="22"/>
          <w:szCs w:val="22"/>
          <w:lang w:val="es-MX" w:eastAsia="ja-JP"/>
        </w:rPr>
        <w:t xml:space="preserve"> y </w:t>
      </w:r>
      <w:r w:rsidRPr="00B72383">
        <w:rPr>
          <w:rFonts w:ascii="Arial" w:eastAsia="MS Mincho" w:hAnsi="Arial" w:cs="Arial"/>
          <w:bCs/>
          <w:i/>
          <w:iCs/>
          <w:sz w:val="22"/>
          <w:szCs w:val="22"/>
          <w:lang w:val="es-MX" w:eastAsia="ja-JP"/>
        </w:rPr>
        <w:t>servicios públicos</w:t>
      </w:r>
      <w:r w:rsidRPr="00B72383">
        <w:rPr>
          <w:rFonts w:ascii="Arial" w:eastAsia="MS Mincho" w:hAnsi="Arial" w:cs="Arial"/>
          <w:bCs/>
          <w:sz w:val="22"/>
          <w:szCs w:val="22"/>
          <w:lang w:val="es-MX" w:eastAsia="ja-JP"/>
        </w:rPr>
        <w:t xml:space="preserve"> de </w:t>
      </w:r>
      <w:r w:rsidRPr="00B72383">
        <w:rPr>
          <w:rFonts w:ascii="Arial" w:eastAsia="MS Mincho" w:hAnsi="Arial" w:cs="Arial"/>
          <w:bCs/>
          <w:i/>
          <w:iCs/>
          <w:sz w:val="22"/>
          <w:szCs w:val="22"/>
          <w:lang w:val="es-MX" w:eastAsia="ja-JP"/>
        </w:rPr>
        <w:t>calidad</w:t>
      </w:r>
      <w:r w:rsidRPr="00B72383">
        <w:rPr>
          <w:rFonts w:ascii="Arial" w:eastAsia="MS Mincho" w:hAnsi="Arial" w:cs="Arial"/>
          <w:bCs/>
          <w:sz w:val="22"/>
          <w:szCs w:val="22"/>
          <w:lang w:val="es-MX" w:eastAsia="ja-JP"/>
        </w:rPr>
        <w:t xml:space="preserve">, </w:t>
      </w:r>
      <w:r w:rsidRPr="00B72383">
        <w:rPr>
          <w:rFonts w:ascii="Arial" w:eastAsia="MS Mincho" w:hAnsi="Arial" w:cs="Arial"/>
          <w:bCs/>
          <w:i/>
          <w:iCs/>
          <w:sz w:val="22"/>
          <w:szCs w:val="22"/>
          <w:lang w:val="es-MX" w:eastAsia="ja-JP"/>
        </w:rPr>
        <w:t xml:space="preserve">garantizando </w:t>
      </w:r>
      <w:r w:rsidRPr="00B72383">
        <w:rPr>
          <w:rFonts w:ascii="Arial" w:eastAsia="MS Mincho" w:hAnsi="Arial" w:cs="Arial"/>
          <w:bCs/>
          <w:sz w:val="22"/>
          <w:szCs w:val="22"/>
          <w:lang w:val="es-MX" w:eastAsia="ja-JP"/>
        </w:rPr>
        <w:t xml:space="preserve">un </w:t>
      </w:r>
      <w:r w:rsidRPr="00B72383">
        <w:rPr>
          <w:rFonts w:ascii="Arial" w:eastAsia="MS Mincho" w:hAnsi="Arial" w:cs="Arial"/>
          <w:bCs/>
          <w:i/>
          <w:iCs/>
          <w:sz w:val="22"/>
          <w:szCs w:val="22"/>
          <w:lang w:val="es-MX" w:eastAsia="ja-JP"/>
        </w:rPr>
        <w:t>desarrollo</w:t>
      </w:r>
      <w:r w:rsidRPr="00B72383">
        <w:rPr>
          <w:rFonts w:ascii="Arial" w:eastAsia="MS Mincho" w:hAnsi="Arial" w:cs="Arial"/>
          <w:bCs/>
          <w:sz w:val="22"/>
          <w:szCs w:val="22"/>
          <w:lang w:val="es-MX" w:eastAsia="ja-JP"/>
        </w:rPr>
        <w:t xml:space="preserve"> ordenado, sustentable e incluyente a través de políticas públicas eficientes y estrategias competitivas, que posicionen a Monterrey como una ciudad global.</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Cs/>
          <w:lang w:val="es-MX" w:eastAsia="ja-JP"/>
        </w:rPr>
      </w:pP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color w:val="C0504D"/>
          <w:sz w:val="40"/>
          <w:szCs w:val="40"/>
          <w:lang w:val="es-ES_tradnl" w:eastAsia="ja-JP"/>
        </w:rPr>
      </w:pPr>
      <w:r w:rsidRPr="0022687E">
        <w:rPr>
          <w:rFonts w:ascii="Arial" w:eastAsia="MS Mincho" w:hAnsi="Arial" w:cs="Arial"/>
          <w:b/>
          <w:bCs/>
          <w:color w:val="C0504D"/>
          <w:sz w:val="40"/>
          <w:szCs w:val="40"/>
          <w:lang w:val="es-MX" w:eastAsia="ja-JP"/>
        </w:rPr>
        <w:t>Misión</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val="es-ES_tradnl" w:eastAsia="ja-JP"/>
        </w:rPr>
      </w:pPr>
      <w:r w:rsidRPr="00B72383">
        <w:rPr>
          <w:rFonts w:ascii="Arial" w:eastAsia="MS Mincho" w:hAnsi="Arial" w:cs="Arial"/>
          <w:bCs/>
          <w:sz w:val="22"/>
          <w:szCs w:val="22"/>
          <w:lang w:val="es-MX" w:eastAsia="ja-JP"/>
        </w:rPr>
        <w:t xml:space="preserve">Ser un gobierno abierto a la participación ciudadana, comprometido con la transparencia y rendición de cuentas, brindando servicios públicos con estándares de </w:t>
      </w:r>
      <w:r w:rsidRPr="00B72383">
        <w:rPr>
          <w:rFonts w:ascii="Arial" w:eastAsia="MS Mincho" w:hAnsi="Arial" w:cs="Arial"/>
          <w:bCs/>
          <w:i/>
          <w:iCs/>
          <w:sz w:val="22"/>
          <w:szCs w:val="22"/>
          <w:lang w:val="es-MX" w:eastAsia="ja-JP"/>
        </w:rPr>
        <w:t>calidad</w:t>
      </w:r>
      <w:r w:rsidRPr="00B72383">
        <w:rPr>
          <w:rFonts w:ascii="Arial" w:eastAsia="MS Mincho" w:hAnsi="Arial" w:cs="Arial"/>
          <w:bCs/>
          <w:sz w:val="22"/>
          <w:szCs w:val="22"/>
          <w:lang w:val="es-MX" w:eastAsia="ja-JP"/>
        </w:rPr>
        <w:t xml:space="preserve">, que permitan que los regiomontanos gocen de un Monterrey </w:t>
      </w:r>
      <w:r w:rsidRPr="00B72383">
        <w:rPr>
          <w:rFonts w:ascii="Arial" w:eastAsia="MS Mincho" w:hAnsi="Arial" w:cs="Arial"/>
          <w:bCs/>
          <w:i/>
          <w:iCs/>
          <w:sz w:val="22"/>
          <w:szCs w:val="22"/>
          <w:lang w:val="es-MX" w:eastAsia="ja-JP"/>
        </w:rPr>
        <w:t>seguro</w:t>
      </w:r>
      <w:r w:rsidRPr="00B72383">
        <w:rPr>
          <w:rFonts w:ascii="Arial" w:eastAsia="MS Mincho" w:hAnsi="Arial" w:cs="Arial"/>
          <w:bCs/>
          <w:sz w:val="22"/>
          <w:szCs w:val="22"/>
          <w:lang w:val="es-MX" w:eastAsia="ja-JP"/>
        </w:rPr>
        <w:t xml:space="preserve">, incluyente y sostenible, procurando el </w:t>
      </w:r>
      <w:r w:rsidRPr="00B72383">
        <w:rPr>
          <w:rFonts w:ascii="Arial" w:eastAsia="MS Mincho" w:hAnsi="Arial" w:cs="Arial"/>
          <w:bCs/>
          <w:i/>
          <w:iCs/>
          <w:sz w:val="22"/>
          <w:szCs w:val="22"/>
          <w:lang w:val="es-MX" w:eastAsia="ja-JP"/>
        </w:rPr>
        <w:t>desarrollo</w:t>
      </w:r>
      <w:r w:rsidRPr="00B72383">
        <w:rPr>
          <w:rFonts w:ascii="Arial" w:eastAsia="MS Mincho" w:hAnsi="Arial" w:cs="Arial"/>
          <w:bCs/>
          <w:sz w:val="22"/>
          <w:szCs w:val="22"/>
          <w:lang w:val="es-MX" w:eastAsia="ja-JP"/>
        </w:rPr>
        <w:t xml:space="preserve"> social y económico en el que se </w:t>
      </w:r>
      <w:r w:rsidRPr="00B72383">
        <w:rPr>
          <w:rFonts w:ascii="Arial" w:eastAsia="MS Mincho" w:hAnsi="Arial" w:cs="Arial"/>
          <w:bCs/>
          <w:i/>
          <w:iCs/>
          <w:sz w:val="22"/>
          <w:szCs w:val="22"/>
          <w:lang w:val="es-MX" w:eastAsia="ja-JP"/>
        </w:rPr>
        <w:t>garanticen</w:t>
      </w:r>
      <w:r w:rsidRPr="00B72383">
        <w:rPr>
          <w:rFonts w:ascii="Arial" w:eastAsia="MS Mincho" w:hAnsi="Arial" w:cs="Arial"/>
          <w:bCs/>
          <w:sz w:val="22"/>
          <w:szCs w:val="22"/>
          <w:lang w:val="es-MX" w:eastAsia="ja-JP"/>
        </w:rPr>
        <w:t xml:space="preserve"> los derechos humanos de todas las personas.</w:t>
      </w:r>
    </w:p>
    <w:p w:rsidR="0022687E" w:rsidRPr="0022687E" w:rsidRDefault="0022687E" w:rsidP="0022687E">
      <w:pPr>
        <w:spacing w:after="200"/>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br w:type="page"/>
      </w:r>
    </w:p>
    <w:p w:rsidR="0022687E" w:rsidRPr="0022687E" w:rsidRDefault="0022687E" w:rsidP="0022687E">
      <w:pPr>
        <w:spacing w:after="200" w:line="360" w:lineRule="auto"/>
        <w:jc w:val="both"/>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lastRenderedPageBreak/>
        <w:t>Ejes rectores del Plan Municipal de Desarrollo</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De acuerdo con la visión que se tiene del Municipio de Monterrey y el compromiso de esta administración para contribuir a la realización de los objetivos planteados, este documento se elabora a través de la identificación de ejes, considerados como esenciales para asegurar el desarrollo integral municipal. </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Para la identificación de dichos ejes, se toma como referencia lo dispuesto por el artículo 154 de la Ley de Gobierno Municipal vigente en la entidad, el Plan Municipal de Desarrollo debe considerar, como mínimo, los siguientes apartados: </w:t>
      </w:r>
    </w:p>
    <w:p w:rsidR="0022687E" w:rsidRPr="0022687E" w:rsidRDefault="0022687E" w:rsidP="0022687E">
      <w:pPr>
        <w:spacing w:after="200" w:line="360" w:lineRule="auto"/>
        <w:jc w:val="center"/>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312D7162" wp14:editId="37639937">
            <wp:extent cx="3836035" cy="3884295"/>
            <wp:effectExtent l="57150" t="0" r="50165" b="0"/>
            <wp:docPr id="85" name="Diagrama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22687E" w:rsidRDefault="001966E9" w:rsidP="001966E9">
      <w:pPr>
        <w:spacing w:after="200" w:line="360" w:lineRule="auto"/>
        <w:jc w:val="both"/>
        <w:rPr>
          <w:rFonts w:ascii="Arial" w:eastAsia="MS Mincho" w:hAnsi="Arial" w:cs="Arial"/>
          <w:lang w:val="es-ES_tradnl" w:eastAsia="ja-JP"/>
        </w:rPr>
      </w:pPr>
      <w:r w:rsidRPr="00B72383">
        <w:rPr>
          <w:rFonts w:ascii="Arial" w:eastAsia="MS Mincho" w:hAnsi="Arial" w:cs="Arial"/>
          <w:noProof/>
          <w:sz w:val="22"/>
          <w:szCs w:val="22"/>
          <w:lang w:val="es-MX" w:eastAsia="es-MX"/>
        </w:rPr>
        <w:lastRenderedPageBreak/>
        <w:drawing>
          <wp:anchor distT="0" distB="0" distL="114300" distR="114300" simplePos="0" relativeHeight="251661312" behindDoc="1" locked="0" layoutInCell="1" allowOverlap="1" wp14:anchorId="2D4569AF" wp14:editId="5AF41A11">
            <wp:simplePos x="0" y="0"/>
            <wp:positionH relativeFrom="column">
              <wp:posOffset>558165</wp:posOffset>
            </wp:positionH>
            <wp:positionV relativeFrom="paragraph">
              <wp:posOffset>1038860</wp:posOffset>
            </wp:positionV>
            <wp:extent cx="5045710" cy="5324475"/>
            <wp:effectExtent l="0" t="0" r="0" b="0"/>
            <wp:wrapNone/>
            <wp:docPr id="86" name="Imagen 2" descr="Macintosh   HD:Users:usuario:Google Drive:Monterrey Identidad 2015:MONTERREY 2015-2018:SECRETARIAS:PLAN MUNICIPAL DE MTY:ejes rectores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uario:Google Drive:Monterrey Identidad 2015:MONTERREY 2015-2018:SECRETARIAS:PLAN MUNICIPAL DE MTY:ejes rectores01-0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45710"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687E" w:rsidRPr="00B72383">
        <w:rPr>
          <w:rFonts w:ascii="Arial" w:eastAsia="MS Mincho" w:hAnsi="Arial" w:cs="Arial"/>
          <w:sz w:val="22"/>
          <w:szCs w:val="22"/>
          <w:lang w:val="es-ES_tradnl" w:eastAsia="ja-JP"/>
        </w:rPr>
        <w:t>Dando cumplimiento a lo anterior y buscando aportar un enfoque que integre lo dispuesto en dicho instrumento jurídico, las demandas ciudadanas, la planeación nacional y estatal y la visión de la ciudad de Monterrey, se definieron los siguientes ejes estratégicos para la estructura y diseño de este Plan Municipal de Desarrollo:</w:t>
      </w: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Pr="0022687E" w:rsidRDefault="001966E9" w:rsidP="001966E9">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sz w:val="22"/>
          <w:szCs w:val="22"/>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Todos los ejes planteados son necesarios y complementarios para alcanzar el desarrollo social, económico y sustentable del Municipio de Monterrey. Las políticas públicas que se </w:t>
      </w:r>
      <w:r w:rsidRPr="00B72383">
        <w:rPr>
          <w:rFonts w:ascii="Arial" w:eastAsia="MS Mincho" w:hAnsi="Arial" w:cs="Arial"/>
          <w:sz w:val="22"/>
          <w:szCs w:val="22"/>
          <w:lang w:val="es-ES_tradnl" w:eastAsia="ja-JP"/>
        </w:rPr>
        <w:lastRenderedPageBreak/>
        <w:t xml:space="preserve">diseñen e implementen durante el ejercicio de esta administración municipal 2015-2018 deberán estar orientadas hacia el cumplimiento de los objetivos aquí plasmados y apuntalando hacia la consolidación de una ciudad ordenada, incluyente, </w:t>
      </w:r>
      <w:proofErr w:type="spellStart"/>
      <w:r w:rsidRPr="00B72383">
        <w:rPr>
          <w:rFonts w:ascii="Arial" w:eastAsia="MS Mincho" w:hAnsi="Arial" w:cs="Arial"/>
          <w:sz w:val="22"/>
          <w:szCs w:val="22"/>
          <w:lang w:val="es-ES_tradnl" w:eastAsia="ja-JP"/>
        </w:rPr>
        <w:t>resiliente</w:t>
      </w:r>
      <w:proofErr w:type="spellEnd"/>
      <w:r w:rsidRPr="00B72383">
        <w:rPr>
          <w:rFonts w:ascii="Arial" w:eastAsia="MS Mincho" w:hAnsi="Arial" w:cs="Arial"/>
          <w:sz w:val="22"/>
          <w:szCs w:val="22"/>
          <w:lang w:val="es-ES_tradnl" w:eastAsia="ja-JP"/>
        </w:rPr>
        <w:t xml:space="preserve"> y sostenible. </w:t>
      </w:r>
    </w:p>
    <w:p w:rsidR="0022687E" w:rsidRPr="0022687E" w:rsidRDefault="0022687E" w:rsidP="0022687E">
      <w:pPr>
        <w:spacing w:after="200"/>
        <w:rPr>
          <w:rFonts w:ascii="Arial" w:eastAsia="MS Mincho" w:hAnsi="Arial" w:cs="Arial"/>
          <w:b/>
          <w:color w:val="9BBB59"/>
          <w:sz w:val="36"/>
          <w:szCs w:val="36"/>
          <w:lang w:val="es-ES_tradnl" w:eastAsia="ja-JP"/>
        </w:rPr>
      </w:pPr>
    </w:p>
    <w:p w:rsidR="0022687E" w:rsidRPr="0022687E" w:rsidRDefault="0022687E" w:rsidP="0022687E">
      <w:pPr>
        <w:spacing w:after="200" w:line="360" w:lineRule="auto"/>
        <w:jc w:val="both"/>
        <w:rPr>
          <w:rFonts w:ascii="Arial" w:eastAsia="MS Mincho" w:hAnsi="Arial" w:cs="Arial"/>
          <w:b/>
          <w:color w:val="FF6600"/>
          <w:sz w:val="40"/>
          <w:szCs w:val="40"/>
          <w:lang w:val="es-ES_tradnl" w:eastAsia="ja-JP"/>
        </w:rPr>
      </w:pPr>
      <w:r w:rsidRPr="0022687E">
        <w:rPr>
          <w:rFonts w:ascii="Arial" w:eastAsia="MS Mincho" w:hAnsi="Arial" w:cs="Arial"/>
          <w:b/>
          <w:color w:val="FF6600"/>
          <w:sz w:val="72"/>
          <w:szCs w:val="72"/>
          <w:lang w:val="es-ES_tradnl" w:eastAsia="ja-JP"/>
        </w:rPr>
        <w:t>1</w:t>
      </w:r>
      <w:r w:rsidRPr="0022687E">
        <w:rPr>
          <w:rFonts w:ascii="Arial" w:eastAsia="MS Mincho" w:hAnsi="Arial" w:cs="Arial"/>
          <w:b/>
          <w:color w:val="FF6600"/>
          <w:sz w:val="56"/>
          <w:szCs w:val="56"/>
          <w:lang w:val="es-ES_tradnl" w:eastAsia="ja-JP"/>
        </w:rPr>
        <w:t xml:space="preserve"> </w:t>
      </w:r>
      <w:r w:rsidRPr="0022687E">
        <w:rPr>
          <w:rFonts w:ascii="Arial" w:eastAsia="MS Mincho" w:hAnsi="Arial" w:cs="Arial"/>
          <w:b/>
          <w:color w:val="FF6600"/>
          <w:sz w:val="40"/>
          <w:szCs w:val="40"/>
          <w:lang w:val="es-ES_tradnl" w:eastAsia="ja-JP"/>
        </w:rPr>
        <w:t>Innovación gubernamental</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Los ciudadanos demandan contar con servicios eficientes, profesionales y de calidad, y para lograrlo es indispensable contar con una buena administración pública que armonice los intereses y las necesidades de la población.</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En ese sentido, un aspecto que comparte el gobierno Municipal con la ciudadanía es precisamente esta voluntad de mejorar constantemente la metodología de gobierno, atendiendo a las necesidades de los ciudadanos –identificadas por la propia Administración y a través de las sugerencias de los habitantes- así como a los recursos económicos y de capital humano con los que se cuenta.  </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A través de la innovación gubernamental, se pretende contar con un modelo de gobierno eficiente, eficaz, transparente y abierto que reemplace esquemas tradicionales de gestión pública por sistemas administrativos y tecnológicos que aseguren la calidad de la atención y la prestación de los servicios.</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Este eje es transversal para toda la administración pública, pues se pretende la organización eficiente de todas las dependencias que la integran, la mejora en la calidad de los procesos de gestión, la optimización de recursos humanos y materiales, la evaluación del desempeño de los operadores, así como la simplificación de la normativa y trámites gubernamentales. </w:t>
      </w:r>
    </w:p>
    <w:p w:rsidR="0022687E" w:rsidRPr="0022687E" w:rsidRDefault="0022687E" w:rsidP="0022687E">
      <w:pPr>
        <w:widowControl w:val="0"/>
        <w:numPr>
          <w:ilvl w:val="1"/>
          <w:numId w:val="34"/>
        </w:numPr>
        <w:autoSpaceDE w:val="0"/>
        <w:autoSpaceDN w:val="0"/>
        <w:adjustRightInd w:val="0"/>
        <w:spacing w:after="240" w:line="360" w:lineRule="auto"/>
        <w:contextualSpacing/>
        <w:jc w:val="both"/>
        <w:rPr>
          <w:rFonts w:ascii="Arial" w:eastAsia="MS Mincho" w:hAnsi="Arial" w:cs="Arial"/>
          <w:b/>
          <w:color w:val="FF6600"/>
          <w:sz w:val="32"/>
          <w:szCs w:val="32"/>
          <w:lang w:eastAsia="ja-JP"/>
        </w:rPr>
      </w:pPr>
      <w:r w:rsidRPr="0022687E">
        <w:rPr>
          <w:rFonts w:ascii="Arial" w:eastAsia="MS Mincho" w:hAnsi="Arial" w:cs="Arial"/>
          <w:b/>
          <w:color w:val="FF6600"/>
          <w:sz w:val="32"/>
          <w:szCs w:val="32"/>
          <w:lang w:eastAsia="ja-JP"/>
        </w:rPr>
        <w:lastRenderedPageBreak/>
        <w:t>Aportaciones ciudadanas</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Durante el foro para la elaboración del Plan Municipal de Desarrollo 2015-2018, se levantaron encuestas relacionadas con los objetivos dispuestos en este documento para conocer la opinión de la población respecto a las soluciones y alternativas del Municipio para contribuir a una administración eficiente y responsable.</w:t>
      </w:r>
    </w:p>
    <w:p w:rsidR="0022687E" w:rsidRPr="0022687E" w:rsidRDefault="0022687E" w:rsidP="0022687E">
      <w:pPr>
        <w:spacing w:after="200" w:line="360" w:lineRule="auto"/>
        <w:ind w:left="-142" w:hanging="142"/>
        <w:jc w:val="both"/>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491523FB" wp14:editId="4B1235AA">
            <wp:extent cx="5893435" cy="2836545"/>
            <wp:effectExtent l="0" t="0" r="0" b="8255"/>
            <wp:docPr id="9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93688" cy="2836667"/>
                    </a:xfrm>
                    <a:prstGeom prst="rect">
                      <a:avLst/>
                    </a:prstGeom>
                    <a:noFill/>
                    <a:ln>
                      <a:noFill/>
                    </a:ln>
                  </pic:spPr>
                </pic:pic>
              </a:graphicData>
            </a:graphic>
          </wp:inline>
        </w:drawing>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Además, se destacó  por parte de los intervinientes en las mesas de trabajo y la ciudadanía, la importancia de contar con un diagnóstico que sea el sustento de la planeación estratégica, la adecuada interacción y coordinación para la implementación de las políticas diseñadas a partir del diagnóstico y la necesidad de la evaluación y mejora continua a través del monitoreo y la implementación de planes de mejora. </w:t>
      </w:r>
    </w:p>
    <w:p w:rsidR="0022687E" w:rsidRDefault="0022687E" w:rsidP="0022687E">
      <w:pPr>
        <w:widowControl w:val="0"/>
        <w:autoSpaceDE w:val="0"/>
        <w:autoSpaceDN w:val="0"/>
        <w:adjustRightInd w:val="0"/>
        <w:spacing w:after="240" w:line="360" w:lineRule="auto"/>
        <w:jc w:val="both"/>
        <w:rPr>
          <w:rFonts w:ascii="Arial" w:eastAsia="MS Mincho" w:hAnsi="Arial" w:cs="Arial"/>
          <w:sz w:val="22"/>
          <w:szCs w:val="22"/>
          <w:lang w:val="es-MX" w:eastAsia="ja-JP"/>
        </w:rPr>
      </w:pPr>
      <w:r w:rsidRPr="00B72383">
        <w:rPr>
          <w:rFonts w:ascii="Arial" w:eastAsia="MS Mincho" w:hAnsi="Arial" w:cs="Arial"/>
          <w:sz w:val="22"/>
          <w:szCs w:val="22"/>
          <w:lang w:eastAsia="ja-JP"/>
        </w:rPr>
        <w:t xml:space="preserve">Se enfatizó por parte de los ponentes que </w:t>
      </w:r>
      <w:r w:rsidRPr="00B72383">
        <w:rPr>
          <w:rFonts w:ascii="Arial" w:eastAsia="MS Mincho" w:hAnsi="Arial" w:cs="Arial"/>
          <w:sz w:val="22"/>
          <w:szCs w:val="22"/>
          <w:lang w:val="es-MX" w:eastAsia="ja-JP"/>
        </w:rPr>
        <w:t>“un buen gobierno va más allá del cumplimiento del marco legal: se funda en la calidad, la transparencia y la legitimidad que le otorga: una información clara, oportuna y suficiente sobre las políticas y programas de gobierno y sus servidores públicos.”</w:t>
      </w:r>
    </w:p>
    <w:p w:rsidR="00B72383" w:rsidRPr="00B72383" w:rsidRDefault="00B72383" w:rsidP="0022687E">
      <w:pPr>
        <w:widowControl w:val="0"/>
        <w:autoSpaceDE w:val="0"/>
        <w:autoSpaceDN w:val="0"/>
        <w:adjustRightInd w:val="0"/>
        <w:spacing w:after="240" w:line="360" w:lineRule="auto"/>
        <w:jc w:val="both"/>
        <w:rPr>
          <w:rFonts w:ascii="Arial" w:eastAsia="MS Mincho" w:hAnsi="Arial" w:cs="Arial"/>
          <w:sz w:val="22"/>
          <w:szCs w:val="22"/>
          <w:lang w:val="es-ES_tradnl" w:eastAsia="ja-JP"/>
        </w:rPr>
      </w:pPr>
    </w:p>
    <w:p w:rsidR="0022687E" w:rsidRPr="0022687E" w:rsidRDefault="0022687E" w:rsidP="0022687E">
      <w:pPr>
        <w:widowControl w:val="0"/>
        <w:numPr>
          <w:ilvl w:val="1"/>
          <w:numId w:val="34"/>
        </w:numPr>
        <w:autoSpaceDE w:val="0"/>
        <w:autoSpaceDN w:val="0"/>
        <w:adjustRightInd w:val="0"/>
        <w:spacing w:after="240" w:line="360" w:lineRule="auto"/>
        <w:contextualSpacing/>
        <w:jc w:val="both"/>
        <w:rPr>
          <w:rFonts w:ascii="Arial" w:eastAsia="MS Mincho" w:hAnsi="Arial" w:cs="Arial"/>
          <w:b/>
          <w:color w:val="FF6600"/>
          <w:sz w:val="32"/>
          <w:szCs w:val="32"/>
          <w:lang w:eastAsia="ja-JP"/>
        </w:rPr>
      </w:pPr>
      <w:r w:rsidRPr="0022687E">
        <w:rPr>
          <w:rFonts w:ascii="Arial" w:eastAsia="MS Mincho" w:hAnsi="Arial" w:cs="Arial"/>
          <w:b/>
          <w:color w:val="FF6600"/>
          <w:sz w:val="32"/>
          <w:szCs w:val="32"/>
          <w:lang w:eastAsia="ja-JP"/>
        </w:rPr>
        <w:t>Objetivos estratégicos</w:t>
      </w:r>
    </w:p>
    <w:p w:rsidR="0022687E"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Para el desarrollo de una planeación estratégica, en el eje de innovación gubernamental se plantearon los siguientes objetivos estratégicos como necesarios para la consolidar una verdadera innovación dentro del actuar de la administración pública municipal. </w:t>
      </w:r>
    </w:p>
    <w:p w:rsidR="00B72383" w:rsidRPr="00B72383" w:rsidRDefault="00B72383" w:rsidP="0022687E">
      <w:pPr>
        <w:widowControl w:val="0"/>
        <w:autoSpaceDE w:val="0"/>
        <w:autoSpaceDN w:val="0"/>
        <w:adjustRightInd w:val="0"/>
        <w:spacing w:after="240" w:line="360" w:lineRule="auto"/>
        <w:jc w:val="both"/>
        <w:rPr>
          <w:rFonts w:ascii="Arial" w:eastAsia="MS Mincho" w:hAnsi="Arial" w:cs="Arial"/>
          <w:sz w:val="22"/>
          <w:szCs w:val="22"/>
          <w:lang w:eastAsia="ja-JP"/>
        </w:rPr>
      </w:pPr>
    </w:p>
    <w:p w:rsidR="0022687E" w:rsidRPr="0022687E" w:rsidRDefault="0022687E" w:rsidP="0022687E">
      <w:pPr>
        <w:spacing w:after="200" w:line="360" w:lineRule="auto"/>
        <w:jc w:val="center"/>
        <w:rPr>
          <w:rFonts w:ascii="Arial" w:eastAsia="MS Mincho" w:hAnsi="Arial" w:cs="Arial"/>
          <w:b/>
          <w:lang w:val="es-ES_tradnl" w:eastAsia="ja-JP"/>
        </w:rPr>
      </w:pPr>
      <w:r w:rsidRPr="0022687E">
        <w:rPr>
          <w:rFonts w:ascii="Arial" w:eastAsia="MS Mincho" w:hAnsi="Arial" w:cs="Arial"/>
          <w:b/>
          <w:noProof/>
          <w:color w:val="000000"/>
          <w:lang w:val="es-MX" w:eastAsia="es-MX"/>
        </w:rPr>
        <w:drawing>
          <wp:inline distT="0" distB="0" distL="0" distR="0" wp14:anchorId="0160F697" wp14:editId="7FE0B40D">
            <wp:extent cx="4801235" cy="2487295"/>
            <wp:effectExtent l="0" t="19050" r="0" b="84455"/>
            <wp:docPr id="91" name="Diagrama 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943A3F" w:rsidRDefault="00943A3F" w:rsidP="0022687E">
      <w:pPr>
        <w:spacing w:after="200" w:line="360" w:lineRule="auto"/>
        <w:ind w:firstLine="708"/>
        <w:jc w:val="both"/>
        <w:rPr>
          <w:rFonts w:ascii="Arial" w:eastAsia="MS Mincho" w:hAnsi="Arial" w:cs="Arial"/>
          <w:b/>
          <w:color w:val="FF6600"/>
          <w:sz w:val="32"/>
          <w:szCs w:val="32"/>
          <w:lang w:val="es-ES_tradnl" w:eastAsia="ja-JP"/>
        </w:rPr>
      </w:pPr>
    </w:p>
    <w:p w:rsidR="00B72383" w:rsidRDefault="00B72383" w:rsidP="0022687E">
      <w:pPr>
        <w:spacing w:after="200" w:line="360" w:lineRule="auto"/>
        <w:ind w:firstLine="708"/>
        <w:jc w:val="both"/>
        <w:rPr>
          <w:rFonts w:ascii="Arial" w:eastAsia="MS Mincho" w:hAnsi="Arial" w:cs="Arial"/>
          <w:b/>
          <w:color w:val="FF6600"/>
          <w:sz w:val="32"/>
          <w:szCs w:val="32"/>
          <w:lang w:val="es-ES_tradnl" w:eastAsia="ja-JP"/>
        </w:rPr>
      </w:pPr>
    </w:p>
    <w:p w:rsidR="00B72383" w:rsidRDefault="00B72383" w:rsidP="0022687E">
      <w:pPr>
        <w:spacing w:after="200" w:line="360" w:lineRule="auto"/>
        <w:ind w:firstLine="708"/>
        <w:jc w:val="both"/>
        <w:rPr>
          <w:rFonts w:ascii="Arial" w:eastAsia="MS Mincho" w:hAnsi="Arial" w:cs="Arial"/>
          <w:b/>
          <w:color w:val="FF6600"/>
          <w:sz w:val="32"/>
          <w:szCs w:val="32"/>
          <w:lang w:val="es-ES_tradnl" w:eastAsia="ja-JP"/>
        </w:rPr>
      </w:pPr>
    </w:p>
    <w:p w:rsidR="00B72383" w:rsidRDefault="00B72383" w:rsidP="0022687E">
      <w:pPr>
        <w:spacing w:after="200" w:line="360" w:lineRule="auto"/>
        <w:ind w:firstLine="708"/>
        <w:jc w:val="both"/>
        <w:rPr>
          <w:rFonts w:ascii="Arial" w:eastAsia="MS Mincho" w:hAnsi="Arial" w:cs="Arial"/>
          <w:b/>
          <w:color w:val="FF6600"/>
          <w:sz w:val="32"/>
          <w:szCs w:val="32"/>
          <w:lang w:val="es-ES_tradnl" w:eastAsia="ja-JP"/>
        </w:rPr>
      </w:pPr>
    </w:p>
    <w:p w:rsidR="00943A3F" w:rsidRDefault="00943A3F" w:rsidP="0022687E">
      <w:pPr>
        <w:spacing w:after="200" w:line="360" w:lineRule="auto"/>
        <w:ind w:firstLine="708"/>
        <w:jc w:val="both"/>
        <w:rPr>
          <w:rFonts w:ascii="Arial" w:eastAsia="MS Mincho" w:hAnsi="Arial" w:cs="Arial"/>
          <w:b/>
          <w:color w:val="FF6600"/>
          <w:sz w:val="32"/>
          <w:szCs w:val="32"/>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lastRenderedPageBreak/>
        <w:t>1.2.1. Administración Pública Eficiente</w:t>
      </w:r>
    </w:p>
    <w:p w:rsidR="0022687E" w:rsidRPr="0022687E" w:rsidRDefault="0022687E" w:rsidP="0022687E">
      <w:pPr>
        <w:spacing w:after="200" w:line="360" w:lineRule="auto"/>
        <w:jc w:val="both"/>
        <w:rPr>
          <w:rFonts w:ascii="Arial" w:eastAsia="MS Mincho" w:hAnsi="Arial" w:cs="Arial"/>
          <w:i/>
          <w:color w:val="FF6600"/>
          <w:lang w:val="es-ES_tradnl" w:eastAsia="ja-JP"/>
        </w:rPr>
      </w:pPr>
      <w:r w:rsidRPr="0022687E">
        <w:rPr>
          <w:rFonts w:ascii="Arial" w:eastAsia="MS Mincho" w:hAnsi="Arial" w:cs="Arial"/>
          <w:i/>
          <w:color w:val="FF6600"/>
          <w:lang w:val="es-ES_tradnl" w:eastAsia="ja-JP"/>
        </w:rPr>
        <w:t xml:space="preserve">Desarrollar estructuras, procesos y niveles de servicio estandarizados que optimicen los recursos disponibles y aseguren la eficacia en la prestación del servicio público.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Para alcanzar este objetivo se implementarán procesos de gestión que faciliten la comunicación e interacción entre los operadores de las distintas áreas de la administración pública municipal, así como la profesionalización de los mismos en el ejercicio de sus funciones.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Además, con el propósito de asegurar la eficacia de los procesos de gestión, se plantea la generación de mecanismos de monitoreo y evaluación del desempeño que permitan el conocimiento de la operación, la detección de áreas de oportunidad y la implementación de planes de mejora continua.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Estos procesos de monitoreo y evaluación permitirán la toma de decisiones informadas, respecto a la eficiencia de los proyectos, procesos y recursos humanos.  De esta manera, se plantea generar un modelo de gobierno basado en resultados, el mejoramiento continuo, objetivo y transparente. </w:t>
      </w:r>
    </w:p>
    <w:p w:rsidR="0022687E" w:rsidRPr="00B72383" w:rsidRDefault="0022687E" w:rsidP="0022687E">
      <w:pPr>
        <w:spacing w:line="360" w:lineRule="auto"/>
        <w:jc w:val="both"/>
        <w:rPr>
          <w:rFonts w:ascii="Arial" w:hAnsi="Arial" w:cs="Arial"/>
          <w:sz w:val="22"/>
          <w:szCs w:val="22"/>
          <w:lang w:val="es-ES_tradnl"/>
        </w:rPr>
      </w:pPr>
      <w:r w:rsidRPr="00B72383">
        <w:rPr>
          <w:rFonts w:ascii="Arial" w:hAnsi="Arial" w:cs="Arial"/>
          <w:sz w:val="22"/>
          <w:szCs w:val="22"/>
          <w:lang w:val="es-ES_tradnl"/>
        </w:rPr>
        <w:t>La medición de la gestión de entes públicos es de suma importancia para la sociedad y la administración pública municipal. “Es aquí donde la evaluación de la gestión surge como un componente lógico tras el interés de medir los avances en materia de gestión pública y capacidad institucional, ha sido tema de interés abordado por los investigadores en ciencias sociales desde diferentes perspectivas (Hernández Juárez, José y Pérez Cervantes, Baltazar, 2013).”</w:t>
      </w:r>
    </w:p>
    <w:p w:rsidR="0022687E" w:rsidRDefault="0022687E" w:rsidP="0022687E">
      <w:pPr>
        <w:spacing w:after="200" w:line="360" w:lineRule="auto"/>
        <w:jc w:val="both"/>
        <w:rPr>
          <w:rFonts w:ascii="Arial" w:eastAsia="MS Mincho" w:hAnsi="Arial" w:cs="Arial"/>
          <w:color w:val="000000"/>
          <w:lang w:val="es-ES_tradnl" w:eastAsia="ja-JP"/>
        </w:rPr>
      </w:pPr>
    </w:p>
    <w:p w:rsidR="00B72383" w:rsidRPr="0022687E" w:rsidRDefault="00B72383" w:rsidP="0022687E">
      <w:pPr>
        <w:spacing w:after="200" w:line="360" w:lineRule="auto"/>
        <w:jc w:val="both"/>
        <w:rPr>
          <w:rFonts w:ascii="Arial" w:eastAsia="MS Mincho" w:hAnsi="Arial" w:cs="Arial"/>
          <w:color w:val="000000"/>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lastRenderedPageBreak/>
        <w:t>1.2.2. Simplificación Administrativa</w:t>
      </w:r>
    </w:p>
    <w:p w:rsidR="0022687E" w:rsidRPr="0022687E" w:rsidRDefault="0022687E" w:rsidP="0022687E">
      <w:pPr>
        <w:spacing w:after="200" w:line="360" w:lineRule="auto"/>
        <w:jc w:val="both"/>
        <w:rPr>
          <w:rFonts w:ascii="Arial" w:eastAsia="MS Mincho" w:hAnsi="Arial" w:cs="Arial"/>
          <w:color w:val="FF6600"/>
          <w:lang w:val="es-ES_tradnl" w:eastAsia="ja-JP"/>
        </w:rPr>
      </w:pPr>
      <w:r w:rsidRPr="0022687E">
        <w:rPr>
          <w:rFonts w:ascii="Arial" w:eastAsia="MS Mincho" w:hAnsi="Arial" w:cs="Arial"/>
          <w:i/>
          <w:color w:val="FF6600"/>
          <w:lang w:val="es-ES_tradnl" w:eastAsia="ja-JP"/>
        </w:rPr>
        <w:t>Ofrecer trámites y servicios ágiles y oportunos que impacten en el crecimiento de la eficiencia operacional, reduciendo tiempos de respuesta y disminuyendo cargas burocráticas en los procedimientos que se siguen ante el municipio</w:t>
      </w:r>
      <w:r w:rsidRPr="0022687E">
        <w:rPr>
          <w:rFonts w:ascii="Arial" w:eastAsia="MS Mincho" w:hAnsi="Arial" w:cs="Arial"/>
          <w:color w:val="FF6600"/>
          <w:lang w:val="es-ES_tradnl" w:eastAsia="ja-JP"/>
        </w:rPr>
        <w:t>.</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Es necesario favorecer la reingeniería de procesos para la simplificación administrativa, permitiendo así el acceso rápido y eficiente a los servicios y facilitar la apertura y desarrollo de negocios y elevar en consecuencia los niveles económicos y de productividad del municipio. </w:t>
      </w:r>
    </w:p>
    <w:p w:rsidR="0022687E" w:rsidRPr="0022687E" w:rsidRDefault="0022687E" w:rsidP="0022687E">
      <w:pPr>
        <w:spacing w:after="200" w:line="360" w:lineRule="auto"/>
        <w:jc w:val="both"/>
        <w:rPr>
          <w:rFonts w:ascii="Arial" w:eastAsia="MS Mincho" w:hAnsi="Arial" w:cs="Arial"/>
          <w:color w:val="000000"/>
          <w:lang w:val="es-ES_tradnl" w:eastAsia="ja-JP"/>
        </w:rPr>
      </w:pPr>
      <w:r w:rsidRPr="00B72383">
        <w:rPr>
          <w:rFonts w:ascii="Arial" w:eastAsia="MS Mincho" w:hAnsi="Arial" w:cs="Arial"/>
          <w:color w:val="000000"/>
          <w:sz w:val="22"/>
          <w:szCs w:val="22"/>
          <w:lang w:val="es-ES_tradnl" w:eastAsia="ja-JP"/>
        </w:rPr>
        <w:t>Con el objeto de conducir y modernizar la administración municipal y mejorar los niveles de servicio del Municipio, se pretende optimizar y transparentar los procesos administrativos que le competen, mediante la eliminación de obstáculos,</w:t>
      </w:r>
      <w:r w:rsidRPr="0022687E">
        <w:rPr>
          <w:rFonts w:ascii="Arial" w:eastAsia="MS Mincho" w:hAnsi="Arial" w:cs="Arial"/>
          <w:color w:val="000000"/>
          <w:lang w:val="es-ES_tradnl" w:eastAsia="ja-JP"/>
        </w:rPr>
        <w:t xml:space="preserve"> reducción de tiempos, digitalización y profesionalización de los operadores. </w:t>
      </w: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1.2.3.  Atención Ciudadana</w:t>
      </w:r>
    </w:p>
    <w:p w:rsidR="0022687E" w:rsidRPr="0022687E" w:rsidRDefault="0022687E" w:rsidP="0022687E">
      <w:pPr>
        <w:spacing w:after="200" w:line="360" w:lineRule="auto"/>
        <w:jc w:val="both"/>
        <w:rPr>
          <w:rFonts w:ascii="Arial" w:eastAsia="MS Mincho" w:hAnsi="Arial" w:cs="Arial"/>
          <w:i/>
          <w:color w:val="FF6600"/>
          <w:lang w:val="es-ES_tradnl" w:eastAsia="ja-JP"/>
        </w:rPr>
      </w:pPr>
      <w:r w:rsidRPr="0022687E">
        <w:rPr>
          <w:rFonts w:ascii="Arial" w:eastAsia="MS Mincho" w:hAnsi="Arial" w:cs="Arial"/>
          <w:i/>
          <w:color w:val="FF6600"/>
          <w:lang w:val="es-ES_tradnl" w:eastAsia="ja-JP"/>
        </w:rPr>
        <w:t>Asegurar una atención ágil, amable, eficiente y eficaz respecto de las solicitudes de las personas en el Municipio de Monterrey.</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La interacción entre los regidores y secretarios de la administración pública municipal y los ciudadanos es y debe ser una constante, </w:t>
      </w:r>
      <w:proofErr w:type="gramStart"/>
      <w:r w:rsidRPr="00B72383">
        <w:rPr>
          <w:rFonts w:ascii="Arial" w:eastAsia="MS Mincho" w:hAnsi="Arial" w:cs="Arial"/>
          <w:color w:val="000000"/>
          <w:sz w:val="22"/>
          <w:szCs w:val="22"/>
          <w:lang w:val="es-ES_tradnl" w:eastAsia="ja-JP"/>
        </w:rPr>
        <w:t>dado</w:t>
      </w:r>
      <w:proofErr w:type="gramEnd"/>
      <w:r w:rsidRPr="00B72383">
        <w:rPr>
          <w:rFonts w:ascii="Arial" w:eastAsia="MS Mincho" w:hAnsi="Arial" w:cs="Arial"/>
          <w:color w:val="000000"/>
          <w:sz w:val="22"/>
          <w:szCs w:val="22"/>
          <w:lang w:val="es-ES_tradnl" w:eastAsia="ja-JP"/>
        </w:rPr>
        <w:t xml:space="preserve"> que a través de las gestiones ciudadanas es que el gobierno conoce las inquietudes y necesidades de la sociedad y las demandas de esta última se vuelven factibles y expeditas. </w:t>
      </w:r>
    </w:p>
    <w:p w:rsidR="0022687E"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Es por ello que surge el interés de construir un Modelo Integral de Atención Ciudadana a través de una unidad receptora de las solicitudes ciudadanas para su efectiva canalización y respuesta. </w:t>
      </w:r>
    </w:p>
    <w:p w:rsidR="00B72383" w:rsidRPr="00B72383" w:rsidRDefault="00B72383" w:rsidP="0022687E">
      <w:pPr>
        <w:spacing w:after="200" w:line="360" w:lineRule="auto"/>
        <w:jc w:val="both"/>
        <w:rPr>
          <w:rFonts w:ascii="Arial" w:eastAsia="MS Mincho" w:hAnsi="Arial" w:cs="Arial"/>
          <w:color w:val="000000"/>
          <w:sz w:val="22"/>
          <w:szCs w:val="22"/>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lastRenderedPageBreak/>
        <w:t>1.2.4.  Gobierno digital</w:t>
      </w:r>
    </w:p>
    <w:p w:rsidR="0022687E" w:rsidRPr="0022687E" w:rsidRDefault="0022687E" w:rsidP="0022687E">
      <w:pPr>
        <w:spacing w:after="200" w:line="360" w:lineRule="auto"/>
        <w:jc w:val="both"/>
        <w:rPr>
          <w:rFonts w:ascii="Arial" w:eastAsia="MS Mincho" w:hAnsi="Arial" w:cs="Arial"/>
          <w:i/>
          <w:color w:val="FF6600"/>
          <w:lang w:val="es-ES_tradnl" w:eastAsia="ja-JP"/>
        </w:rPr>
      </w:pPr>
      <w:r w:rsidRPr="0022687E">
        <w:rPr>
          <w:rFonts w:ascii="Arial" w:eastAsia="MS Mincho" w:hAnsi="Arial" w:cs="Arial"/>
          <w:i/>
          <w:color w:val="FF6600"/>
          <w:lang w:val="es-ES_tradnl" w:eastAsia="ja-JP"/>
        </w:rPr>
        <w:t xml:space="preserve">Convertir a Monterrey en una ciudad integralmente tecnológica a través de herramientas de última generación y su transversalidad ciudadana.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A partir de una estrategia de gobierno digital, se pretende hacer uso de las tecnologías de la información con dos objetos principales: establecer las bases para el acceso a la información y la interacción con la ciudadanía y, por otra parte, optimizar los recursos disponibles para garantizar la eficiencia y eficacia de las actividades de la administración municipal.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El gobierno digital tiene como objetivo aprovechar al máximo el uso de las tecnologías de información y comunicación para agilizar los trámites que realizan los ciudadanos, mejorar la participación e interacción con los ciudadanos, contribuir a la transparencia gubernamental y la rendición de cuentas y mejorar la coordinación al interior de la administración municipal y calidad de los servicios públicos que ésta presta.</w:t>
      </w:r>
    </w:p>
    <w:p w:rsidR="0022687E" w:rsidRPr="0022687E" w:rsidRDefault="0022687E" w:rsidP="0022687E">
      <w:pPr>
        <w:numPr>
          <w:ilvl w:val="1"/>
          <w:numId w:val="34"/>
        </w:numPr>
        <w:spacing w:after="200" w:line="360" w:lineRule="auto"/>
        <w:contextualSpacing/>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Proyectos estratégicos</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A partir de los objetivos estratégicos descritos en el eje de innovación gubernamental, se desarrollan los proyectos que sirven para contribuir al alcance de aquéllos y que establecen las bases para el desarrollo de las actividades de la administración pública municipal durante el periodo 2015-2018. </w:t>
      </w:r>
      <w:r w:rsidRPr="00B72383">
        <w:rPr>
          <w:rFonts w:ascii="Arial" w:eastAsia="MS Mincho" w:hAnsi="Arial" w:cs="Arial"/>
          <w:sz w:val="22"/>
          <w:szCs w:val="22"/>
          <w:vertAlign w:val="superscript"/>
          <w:lang w:eastAsia="ja-JP"/>
        </w:rPr>
        <w:footnoteReference w:id="6"/>
      </w:r>
      <w:r w:rsidRPr="00B72383">
        <w:rPr>
          <w:rFonts w:ascii="Arial" w:eastAsia="MS Mincho" w:hAnsi="Arial" w:cs="Arial"/>
          <w:sz w:val="22"/>
          <w:szCs w:val="22"/>
          <w:lang w:eastAsia="ja-JP"/>
        </w:rPr>
        <w:t xml:space="preserve"> </w:t>
      </w:r>
    </w:p>
    <w:p w:rsidR="0022687E" w:rsidRDefault="0022687E" w:rsidP="0022687E">
      <w:pPr>
        <w:spacing w:after="200"/>
        <w:ind w:left="-567" w:right="-716"/>
        <w:rPr>
          <w:rFonts w:ascii="Arial" w:eastAsia="MS Mincho" w:hAnsi="Arial" w:cs="Arial"/>
          <w:lang w:eastAsia="ja-JP"/>
        </w:rPr>
      </w:pPr>
    </w:p>
    <w:p w:rsidR="00B72383" w:rsidRDefault="00B72383" w:rsidP="0022687E">
      <w:pPr>
        <w:spacing w:after="200"/>
        <w:ind w:left="-567" w:right="-716"/>
        <w:rPr>
          <w:rFonts w:ascii="Arial" w:eastAsia="MS Mincho" w:hAnsi="Arial" w:cs="Arial"/>
          <w:lang w:eastAsia="ja-JP"/>
        </w:rPr>
      </w:pPr>
    </w:p>
    <w:p w:rsidR="00B72383" w:rsidRPr="0022687E" w:rsidRDefault="00B72383" w:rsidP="0022687E">
      <w:pPr>
        <w:spacing w:after="200"/>
        <w:ind w:left="-567" w:right="-716"/>
        <w:rPr>
          <w:rFonts w:ascii="Arial" w:eastAsia="MS Mincho" w:hAnsi="Arial" w:cs="Arial"/>
          <w:lang w:eastAsia="ja-JP"/>
        </w:rPr>
      </w:pPr>
    </w:p>
    <w:p w:rsidR="003954FE" w:rsidRDefault="003954FE">
      <w:pPr>
        <w:spacing w:after="200" w:line="276" w:lineRule="auto"/>
        <w:rPr>
          <w:rFonts w:ascii="Arial" w:eastAsia="MS Mincho" w:hAnsi="Arial" w:cs="Arial"/>
          <w:b/>
          <w:color w:val="FF6600"/>
          <w:sz w:val="32"/>
          <w:szCs w:val="32"/>
          <w:lang w:val="es-ES_tradnl" w:eastAsia="ja-JP"/>
        </w:rPr>
      </w:pPr>
      <w:r w:rsidRPr="0022687E">
        <w:rPr>
          <w:rFonts w:ascii="Arial" w:eastAsia="MS Mincho" w:hAnsi="Arial" w:cs="Arial"/>
          <w:noProof/>
          <w:lang w:val="es-MX" w:eastAsia="es-MX"/>
        </w:rPr>
        <w:lastRenderedPageBreak/>
        <w:drawing>
          <wp:anchor distT="0" distB="0" distL="114300" distR="114300" simplePos="0" relativeHeight="251688960" behindDoc="1" locked="0" layoutInCell="1" allowOverlap="1" wp14:anchorId="2084A371" wp14:editId="1B7EED29">
            <wp:simplePos x="0" y="0"/>
            <wp:positionH relativeFrom="column">
              <wp:posOffset>-219710</wp:posOffset>
            </wp:positionH>
            <wp:positionV relativeFrom="paragraph">
              <wp:posOffset>573252</wp:posOffset>
            </wp:positionV>
            <wp:extent cx="6070690" cy="5738883"/>
            <wp:effectExtent l="19050" t="19050" r="25400" b="14605"/>
            <wp:wrapNone/>
            <wp:docPr id="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1" b="39056"/>
                    <a:stretch/>
                  </pic:blipFill>
                  <pic:spPr bwMode="auto">
                    <a:xfrm>
                      <a:off x="0" y="0"/>
                      <a:ext cx="6070690" cy="5738883"/>
                    </a:xfrm>
                    <a:prstGeom prst="rect">
                      <a:avLst/>
                    </a:prstGeom>
                    <a:noFill/>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MS Mincho" w:hAnsi="Arial" w:cs="Arial"/>
          <w:b/>
          <w:color w:val="FF6600"/>
          <w:sz w:val="32"/>
          <w:szCs w:val="32"/>
          <w:lang w:val="es-ES_tradnl" w:eastAsia="ja-JP"/>
        </w:rPr>
        <w:br w:type="page"/>
      </w:r>
    </w:p>
    <w:p w:rsidR="003954FE" w:rsidRDefault="003954FE" w:rsidP="003954FE">
      <w:pPr>
        <w:widowControl w:val="0"/>
        <w:autoSpaceDE w:val="0"/>
        <w:autoSpaceDN w:val="0"/>
        <w:adjustRightInd w:val="0"/>
        <w:spacing w:after="240" w:line="360" w:lineRule="auto"/>
        <w:ind w:left="1080"/>
        <w:contextualSpacing/>
        <w:jc w:val="both"/>
        <w:rPr>
          <w:rFonts w:ascii="Arial" w:eastAsia="MS Mincho" w:hAnsi="Arial" w:cs="Arial"/>
          <w:b/>
          <w:color w:val="FF6600"/>
          <w:sz w:val="32"/>
          <w:szCs w:val="32"/>
          <w:lang w:val="es-ES_tradnl" w:eastAsia="ja-JP"/>
        </w:rPr>
      </w:pPr>
    </w:p>
    <w:p w:rsidR="00943A3F" w:rsidRDefault="00943A3F">
      <w:pPr>
        <w:spacing w:after="200" w:line="276" w:lineRule="auto"/>
        <w:rPr>
          <w:rFonts w:ascii="Arial" w:eastAsia="MS Mincho" w:hAnsi="Arial" w:cs="Arial"/>
          <w:b/>
          <w:color w:val="FF6600"/>
          <w:sz w:val="32"/>
          <w:szCs w:val="32"/>
          <w:lang w:val="es-ES_tradnl" w:eastAsia="ja-JP"/>
        </w:rPr>
      </w:pPr>
      <w:r w:rsidRPr="0022687E">
        <w:rPr>
          <w:rFonts w:ascii="Arial" w:eastAsia="MS Mincho" w:hAnsi="Arial" w:cs="Arial"/>
          <w:noProof/>
          <w:lang w:val="es-MX" w:eastAsia="es-MX"/>
        </w:rPr>
        <w:drawing>
          <wp:anchor distT="0" distB="0" distL="114300" distR="114300" simplePos="0" relativeHeight="251692032" behindDoc="1" locked="0" layoutInCell="1" allowOverlap="1" wp14:anchorId="7587E571" wp14:editId="797A2439">
            <wp:simplePos x="0" y="0"/>
            <wp:positionH relativeFrom="column">
              <wp:posOffset>-70485</wp:posOffset>
            </wp:positionH>
            <wp:positionV relativeFrom="paragraph">
              <wp:posOffset>1126489</wp:posOffset>
            </wp:positionV>
            <wp:extent cx="6067425" cy="3656965"/>
            <wp:effectExtent l="19050" t="19050" r="28575" b="19685"/>
            <wp:wrapNone/>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61142"/>
                    <a:stretch/>
                  </pic:blipFill>
                  <pic:spPr bwMode="auto">
                    <a:xfrm>
                      <a:off x="0" y="0"/>
                      <a:ext cx="6067425" cy="3656965"/>
                    </a:xfrm>
                    <a:prstGeom prst="rect">
                      <a:avLst/>
                    </a:prstGeom>
                    <a:noFill/>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MS Mincho" w:hAnsi="Arial" w:cs="Arial"/>
          <w:b/>
          <w:color w:val="FF6600"/>
          <w:sz w:val="32"/>
          <w:szCs w:val="32"/>
          <w:lang w:val="es-ES_tradnl" w:eastAsia="ja-JP"/>
        </w:rPr>
        <w:br w:type="page"/>
      </w:r>
    </w:p>
    <w:p w:rsidR="0022687E" w:rsidRPr="0022687E" w:rsidRDefault="0022687E" w:rsidP="0022687E">
      <w:pPr>
        <w:widowControl w:val="0"/>
        <w:numPr>
          <w:ilvl w:val="1"/>
          <w:numId w:val="34"/>
        </w:numPr>
        <w:autoSpaceDE w:val="0"/>
        <w:autoSpaceDN w:val="0"/>
        <w:adjustRightInd w:val="0"/>
        <w:spacing w:after="240" w:line="360" w:lineRule="auto"/>
        <w:contextualSpacing/>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lastRenderedPageBreak/>
        <w:t>Metas e indicadores</w:t>
      </w:r>
    </w:p>
    <w:p w:rsidR="0022687E" w:rsidRPr="00B72383" w:rsidRDefault="0022687E" w:rsidP="0022687E">
      <w:pPr>
        <w:widowControl w:val="0"/>
        <w:autoSpaceDE w:val="0"/>
        <w:autoSpaceDN w:val="0"/>
        <w:adjustRightInd w:val="0"/>
        <w:spacing w:after="240" w:line="360" w:lineRule="auto"/>
        <w:jc w:val="both"/>
        <w:rPr>
          <w:rFonts w:ascii="Times" w:eastAsia="MS Mincho" w:hAnsi="Times" w:cs="Times"/>
          <w:sz w:val="22"/>
          <w:szCs w:val="22"/>
          <w:lang w:eastAsia="ja-JP"/>
        </w:rPr>
      </w:pPr>
      <w:r w:rsidRPr="00B72383">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innovación gubernamental y los indicadores que permitirán evaluar el alcance de las mismas.</w:t>
      </w:r>
    </w:p>
    <w:p w:rsidR="0022687E" w:rsidRPr="0022687E" w:rsidRDefault="0022687E" w:rsidP="0022687E">
      <w:pPr>
        <w:spacing w:after="200"/>
        <w:ind w:hanging="567"/>
        <w:rPr>
          <w:rFonts w:ascii="Arial" w:hAnsi="Arial" w:cs="Arial"/>
          <w:sz w:val="20"/>
          <w:szCs w:val="20"/>
          <w:lang w:val="es-ES_tradnl"/>
        </w:rPr>
      </w:pPr>
      <w:r w:rsidRPr="0022687E">
        <w:rPr>
          <w:rFonts w:ascii="Arial" w:hAnsi="Arial" w:cs="Arial"/>
          <w:noProof/>
          <w:sz w:val="20"/>
          <w:szCs w:val="20"/>
          <w:lang w:val="es-MX" w:eastAsia="es-MX"/>
        </w:rPr>
        <w:drawing>
          <wp:inline distT="0" distB="0" distL="0" distR="0" wp14:anchorId="499FA455" wp14:editId="0C7036C9">
            <wp:extent cx="6067002" cy="4718685"/>
            <wp:effectExtent l="0" t="0" r="3810" b="5715"/>
            <wp:docPr id="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67350" cy="4718956"/>
                    </a:xfrm>
                    <a:prstGeom prst="rect">
                      <a:avLst/>
                    </a:prstGeom>
                    <a:noFill/>
                    <a:ln>
                      <a:noFill/>
                    </a:ln>
                  </pic:spPr>
                </pic:pic>
              </a:graphicData>
            </a:graphic>
          </wp:inline>
        </w:drawing>
      </w:r>
      <w:r w:rsidRPr="0022687E">
        <w:rPr>
          <w:rFonts w:ascii="Arial" w:hAnsi="Arial" w:cs="Arial"/>
          <w:sz w:val="20"/>
          <w:szCs w:val="20"/>
          <w:lang w:val="es-ES_tradnl"/>
        </w:rPr>
        <w:br w:type="page"/>
      </w:r>
    </w:p>
    <w:p w:rsidR="0022687E" w:rsidRPr="0022687E" w:rsidRDefault="0022687E" w:rsidP="0022687E">
      <w:pPr>
        <w:spacing w:after="200" w:line="360" w:lineRule="auto"/>
        <w:jc w:val="both"/>
        <w:rPr>
          <w:rFonts w:ascii="Arial" w:eastAsia="MS Mincho" w:hAnsi="Arial" w:cs="Arial"/>
          <w:b/>
          <w:color w:val="A01C5E"/>
          <w:sz w:val="40"/>
          <w:szCs w:val="40"/>
          <w:lang w:val="es-ES_tradnl" w:eastAsia="ja-JP"/>
        </w:rPr>
      </w:pPr>
      <w:r w:rsidRPr="0022687E">
        <w:rPr>
          <w:rFonts w:ascii="Arial" w:eastAsia="MS Mincho" w:hAnsi="Arial" w:cs="Arial"/>
          <w:b/>
          <w:color w:val="A01C5E"/>
          <w:sz w:val="72"/>
          <w:szCs w:val="72"/>
          <w:lang w:val="es-ES_tradnl" w:eastAsia="ja-JP"/>
        </w:rPr>
        <w:lastRenderedPageBreak/>
        <w:t>2</w:t>
      </w:r>
      <w:r w:rsidRPr="0022687E">
        <w:rPr>
          <w:rFonts w:ascii="Arial" w:eastAsia="MS Mincho" w:hAnsi="Arial" w:cs="Arial"/>
          <w:b/>
          <w:color w:val="A01C5E"/>
          <w:sz w:val="40"/>
          <w:szCs w:val="40"/>
          <w:lang w:val="es-ES_tradnl" w:eastAsia="ja-JP"/>
        </w:rPr>
        <w:t xml:space="preserve"> Gobierno abierto </w:t>
      </w:r>
    </w:p>
    <w:p w:rsidR="0022687E" w:rsidRPr="00B72383" w:rsidRDefault="0022687E" w:rsidP="0022687E">
      <w:pPr>
        <w:spacing w:after="200" w:line="360" w:lineRule="auto"/>
        <w:jc w:val="both"/>
        <w:rPr>
          <w:rFonts w:ascii="Arial" w:hAnsi="Arial" w:cs="Arial"/>
          <w:sz w:val="22"/>
          <w:szCs w:val="22"/>
          <w:lang w:val="es-ES_tradnl"/>
        </w:rPr>
      </w:pPr>
      <w:r w:rsidRPr="00B72383">
        <w:rPr>
          <w:rFonts w:ascii="Arial" w:eastAsia="MS Mincho" w:hAnsi="Arial" w:cs="Arial"/>
          <w:sz w:val="22"/>
          <w:szCs w:val="22"/>
          <w:lang w:val="es-ES_tradnl" w:eastAsia="ja-JP"/>
        </w:rPr>
        <w:t xml:space="preserve">El establecimiento de una política de gobierno abierto, transversal a toda la administración pública municipal, es indispensable para construir un modelo de gobernanza que integre los principios de </w:t>
      </w:r>
      <w:r w:rsidRPr="00B72383">
        <w:rPr>
          <w:rFonts w:ascii="Arial" w:hAnsi="Arial" w:cs="Arial"/>
          <w:sz w:val="22"/>
          <w:szCs w:val="22"/>
          <w:lang w:val="es-ES_tradnl"/>
        </w:rPr>
        <w:t xml:space="preserve">transparencia, colaboración, participación y rendición de cuentas, favoreciendo la integración de la sociedad en búsqueda de soluciones, ejecución y supervisión de las mismas. </w:t>
      </w:r>
    </w:p>
    <w:p w:rsidR="0022687E" w:rsidRPr="00B72383" w:rsidRDefault="0022687E" w:rsidP="0022687E">
      <w:pPr>
        <w:spacing w:after="200" w:line="360" w:lineRule="auto"/>
        <w:jc w:val="both"/>
        <w:rPr>
          <w:rFonts w:ascii="Arial" w:eastAsia="MS Mincho" w:hAnsi="Arial" w:cs="Arial"/>
          <w:color w:val="1A1718"/>
          <w:sz w:val="22"/>
          <w:szCs w:val="22"/>
          <w:lang w:eastAsia="ja-JP"/>
        </w:rPr>
      </w:pPr>
      <w:r w:rsidRPr="00B72383">
        <w:rPr>
          <w:rFonts w:ascii="Arial" w:hAnsi="Arial" w:cs="Arial"/>
          <w:sz w:val="22"/>
          <w:szCs w:val="22"/>
          <w:lang w:val="es-ES_tradnl"/>
        </w:rPr>
        <w:t xml:space="preserve">Para la consolidación de un gobierno municipal que responda a las necesidades de las personas y ejerza las funciones conferidas por la sociedad, se </w:t>
      </w:r>
      <w:r w:rsidRPr="00B72383">
        <w:rPr>
          <w:rFonts w:ascii="Arial" w:eastAsia="MS Mincho" w:hAnsi="Arial" w:cs="Arial"/>
          <w:color w:val="1A1718"/>
          <w:sz w:val="22"/>
          <w:szCs w:val="22"/>
          <w:lang w:eastAsia="ja-JP"/>
        </w:rPr>
        <w:t>considera a los ciudadanos y a la administración como “corresponsables” a la hora de promover la innovación y la apertura de la administración pública, implicándose ambos colaborativamente en la mejora de la calidad, la eficiencia y la eficacia de los servicios públicos (Pietro-Martín, Pedro y Ramírez-Alujas, Álvaro, 2014).</w:t>
      </w:r>
    </w:p>
    <w:p w:rsidR="0022687E" w:rsidRPr="00B72383" w:rsidRDefault="0022687E" w:rsidP="0022687E">
      <w:pPr>
        <w:spacing w:after="200" w:line="360" w:lineRule="auto"/>
        <w:jc w:val="both"/>
        <w:rPr>
          <w:rFonts w:ascii="Arial" w:eastAsia="MS Mincho" w:hAnsi="Arial" w:cs="Arial"/>
          <w:color w:val="1A1718"/>
          <w:sz w:val="22"/>
          <w:szCs w:val="22"/>
          <w:lang w:eastAsia="ja-JP"/>
        </w:rPr>
      </w:pPr>
      <w:r w:rsidRPr="00B72383">
        <w:rPr>
          <w:rFonts w:ascii="Arial" w:eastAsia="MS Mincho" w:hAnsi="Arial" w:cs="Arial"/>
          <w:color w:val="1A1718"/>
          <w:sz w:val="22"/>
          <w:szCs w:val="22"/>
          <w:lang w:eastAsia="ja-JP"/>
        </w:rPr>
        <w:t xml:space="preserve">De acuerdo con la Alianza para el Gobierno Abierto (2015), se requiere: </w:t>
      </w:r>
    </w:p>
    <w:p w:rsidR="0022687E" w:rsidRPr="00B72383" w:rsidRDefault="0022687E" w:rsidP="0022687E">
      <w:pPr>
        <w:numPr>
          <w:ilvl w:val="0"/>
          <w:numId w:val="37"/>
        </w:numPr>
        <w:spacing w:after="200" w:line="360" w:lineRule="auto"/>
        <w:contextualSpacing/>
        <w:jc w:val="both"/>
        <w:rPr>
          <w:rFonts w:ascii="Arial" w:hAnsi="Arial" w:cs="Arial"/>
          <w:color w:val="333333"/>
          <w:sz w:val="22"/>
          <w:szCs w:val="22"/>
          <w:shd w:val="clear" w:color="auto" w:fill="FFFFFF"/>
          <w:lang w:val="es-ES_tradnl"/>
        </w:rPr>
      </w:pPr>
      <w:r w:rsidRPr="00B72383">
        <w:rPr>
          <w:rFonts w:ascii="Arial" w:hAnsi="Arial" w:cs="Arial"/>
          <w:color w:val="333333"/>
          <w:sz w:val="22"/>
          <w:szCs w:val="22"/>
          <w:shd w:val="clear" w:color="auto" w:fill="FFFFFF"/>
          <w:lang w:val="es-ES_tradnl"/>
        </w:rPr>
        <w:t xml:space="preserve">Aumentar la disponibilidad de información sobre las actividades gubernamentales. </w:t>
      </w:r>
    </w:p>
    <w:p w:rsidR="0022687E" w:rsidRPr="00B72383" w:rsidRDefault="0022687E" w:rsidP="0022687E">
      <w:pPr>
        <w:numPr>
          <w:ilvl w:val="0"/>
          <w:numId w:val="37"/>
        </w:numPr>
        <w:spacing w:after="200" w:line="360" w:lineRule="auto"/>
        <w:contextualSpacing/>
        <w:jc w:val="both"/>
        <w:rPr>
          <w:rFonts w:ascii="Arial" w:hAnsi="Arial" w:cs="Arial"/>
          <w:sz w:val="22"/>
          <w:szCs w:val="22"/>
          <w:lang w:val="es-ES_tradnl"/>
        </w:rPr>
      </w:pPr>
      <w:r w:rsidRPr="00B72383">
        <w:rPr>
          <w:rFonts w:ascii="Arial" w:hAnsi="Arial" w:cs="Arial"/>
          <w:color w:val="333333"/>
          <w:sz w:val="22"/>
          <w:szCs w:val="22"/>
          <w:shd w:val="clear" w:color="auto" w:fill="FFFFFF"/>
          <w:lang w:val="es-ES_tradnl"/>
        </w:rPr>
        <w:t xml:space="preserve">La participación de la sociedad, procurando la participación activa de todos los sectores de la población. </w:t>
      </w:r>
    </w:p>
    <w:p w:rsidR="0022687E" w:rsidRPr="00B72383" w:rsidRDefault="0022687E" w:rsidP="0022687E">
      <w:pPr>
        <w:numPr>
          <w:ilvl w:val="0"/>
          <w:numId w:val="37"/>
        </w:numPr>
        <w:spacing w:after="200" w:line="360" w:lineRule="auto"/>
        <w:contextualSpacing/>
        <w:jc w:val="both"/>
        <w:rPr>
          <w:rFonts w:ascii="Arial" w:hAnsi="Arial" w:cs="Arial"/>
          <w:sz w:val="22"/>
          <w:szCs w:val="22"/>
          <w:lang w:val="es-ES_tradnl"/>
        </w:rPr>
      </w:pPr>
      <w:r w:rsidRPr="00B72383">
        <w:rPr>
          <w:rFonts w:ascii="Arial" w:hAnsi="Arial" w:cs="Arial"/>
          <w:color w:val="333333"/>
          <w:sz w:val="22"/>
          <w:szCs w:val="22"/>
          <w:shd w:val="clear" w:color="auto" w:fill="FFFFFF"/>
          <w:lang w:val="es-ES_tradnl"/>
        </w:rPr>
        <w:t>Aplicar los más altos estándares de integridad profesional en todos nuestros gobiernos. Un gobierno responsable requiere altos estándares éticos y códigos de conducta para sus funcionarios públicos.</w:t>
      </w:r>
    </w:p>
    <w:p w:rsidR="0022687E" w:rsidRPr="00B72383" w:rsidRDefault="0022687E" w:rsidP="0022687E">
      <w:pPr>
        <w:numPr>
          <w:ilvl w:val="0"/>
          <w:numId w:val="37"/>
        </w:numPr>
        <w:spacing w:after="200" w:line="360" w:lineRule="auto"/>
        <w:contextualSpacing/>
        <w:jc w:val="both"/>
        <w:rPr>
          <w:rFonts w:ascii="Arial" w:hAnsi="Arial" w:cs="Arial"/>
          <w:sz w:val="22"/>
          <w:szCs w:val="22"/>
          <w:lang w:val="es-ES_tradnl"/>
        </w:rPr>
      </w:pPr>
      <w:r w:rsidRPr="00B72383">
        <w:rPr>
          <w:rFonts w:ascii="Arial" w:hAnsi="Arial" w:cs="Arial"/>
          <w:color w:val="333333"/>
          <w:sz w:val="22"/>
          <w:szCs w:val="22"/>
          <w:shd w:val="clear" w:color="auto" w:fill="FFFFFF"/>
          <w:lang w:val="es-ES_tradnl"/>
        </w:rPr>
        <w:t xml:space="preserve">Aumentar el acceso a las nuevas tecnologías para la apertura y la rendición de cuentas. Las nuevas tecnologías ofrecen oportunidades para el intercambio de información, la participación del público y la colaboración. </w:t>
      </w:r>
    </w:p>
    <w:p w:rsidR="0022687E" w:rsidRPr="0022687E" w:rsidRDefault="0022687E" w:rsidP="0022687E">
      <w:pPr>
        <w:spacing w:line="360" w:lineRule="auto"/>
        <w:ind w:left="820"/>
        <w:contextualSpacing/>
        <w:jc w:val="both"/>
        <w:rPr>
          <w:rFonts w:ascii="Arial" w:hAnsi="Arial" w:cs="Arial"/>
          <w:lang w:val="es-ES_tradnl"/>
        </w:rPr>
      </w:pPr>
    </w:p>
    <w:p w:rsidR="0022687E" w:rsidRPr="0022687E" w:rsidRDefault="0022687E" w:rsidP="0022687E">
      <w:pPr>
        <w:spacing w:line="360" w:lineRule="auto"/>
        <w:ind w:left="820"/>
        <w:contextualSpacing/>
        <w:jc w:val="both"/>
        <w:rPr>
          <w:rFonts w:ascii="Times" w:hAnsi="Times"/>
          <w:sz w:val="20"/>
          <w:szCs w:val="20"/>
          <w:lang w:val="es-ES_tradnl"/>
        </w:rPr>
      </w:pPr>
    </w:p>
    <w:p w:rsidR="0022687E" w:rsidRPr="0022687E" w:rsidRDefault="0022687E" w:rsidP="0022687E">
      <w:pPr>
        <w:numPr>
          <w:ilvl w:val="1"/>
          <w:numId w:val="41"/>
        </w:numPr>
        <w:spacing w:after="200" w:line="360" w:lineRule="auto"/>
        <w:contextualSpacing/>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Aportaciones ciudadanas</w:t>
      </w:r>
    </w:p>
    <w:p w:rsidR="0022687E" w:rsidRPr="0022687E" w:rsidRDefault="0022687E" w:rsidP="0022687E">
      <w:pPr>
        <w:spacing w:line="360" w:lineRule="auto"/>
        <w:ind w:left="720"/>
        <w:contextualSpacing/>
        <w:jc w:val="both"/>
        <w:rPr>
          <w:rFonts w:ascii="Arial" w:eastAsia="MS Mincho" w:hAnsi="Arial" w:cs="Arial"/>
          <w:b/>
          <w:color w:val="A01C5E"/>
          <w:sz w:val="32"/>
          <w:szCs w:val="32"/>
          <w:lang w:val="es-ES_tradnl" w:eastAsia="ja-JP"/>
        </w:rPr>
      </w:pP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de la población respecto a las soluciones y alternativas del Municipio para contribuir a la construcción de un modelo de gobierno abierto. </w:t>
      </w:r>
    </w:p>
    <w:p w:rsidR="0022687E" w:rsidRPr="0022687E" w:rsidRDefault="0022687E" w:rsidP="0022687E">
      <w:pPr>
        <w:spacing w:line="360" w:lineRule="auto"/>
        <w:ind w:hanging="567"/>
        <w:jc w:val="both"/>
        <w:rPr>
          <w:rFonts w:ascii="Arial" w:eastAsia="MS Mincho" w:hAnsi="Arial" w:cs="Arial"/>
          <w:b/>
          <w:color w:val="A01C5E"/>
          <w:sz w:val="32"/>
          <w:szCs w:val="32"/>
          <w:lang w:val="es-ES_tradnl" w:eastAsia="ja-JP"/>
        </w:rPr>
      </w:pPr>
      <w:r w:rsidRPr="0022687E">
        <w:rPr>
          <w:rFonts w:ascii="Arial" w:eastAsia="MS Mincho" w:hAnsi="Arial" w:cs="Arial"/>
          <w:noProof/>
          <w:lang w:val="es-MX" w:eastAsia="es-MX"/>
        </w:rPr>
        <w:drawing>
          <wp:inline distT="0" distB="0" distL="0" distR="0" wp14:anchorId="50C2ED23" wp14:editId="61103EAA">
            <wp:extent cx="6274435" cy="3541136"/>
            <wp:effectExtent l="25400" t="25400" r="24765" b="15240"/>
            <wp:docPr id="1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75912" cy="3541970"/>
                    </a:xfrm>
                    <a:prstGeom prst="rect">
                      <a:avLst/>
                    </a:prstGeom>
                    <a:noFill/>
                    <a:ln>
                      <a:solidFill>
                        <a:sysClr val="windowText" lastClr="000000"/>
                      </a:solidFill>
                    </a:ln>
                  </pic:spPr>
                </pic:pic>
              </a:graphicData>
            </a:graphic>
          </wp:inline>
        </w:drawing>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De igual manera, se destacaron, durante las intervenciones de los expositores, los siguientes aspectos del Gobierno Abierto: </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Gobierno centrado en la ciudadanía</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Presupuesto abierto y participativo</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lastRenderedPageBreak/>
        <w:t>Datos abiertos para el desarrollo</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Empoderamiento y participación ciudadana</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Gobernanza de recursos naturales</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Innovación abierta, presupuestos abiertos y contratación abierta</w:t>
      </w:r>
    </w:p>
    <w:p w:rsidR="0022687E" w:rsidRPr="008C0CAE" w:rsidRDefault="0022687E" w:rsidP="0022687E">
      <w:pPr>
        <w:spacing w:after="200" w:line="360" w:lineRule="auto"/>
        <w:jc w:val="both"/>
        <w:rPr>
          <w:rFonts w:ascii="Arial" w:eastAsia="MS Mincho" w:hAnsi="Arial" w:cs="Arial"/>
          <w:sz w:val="22"/>
          <w:szCs w:val="22"/>
          <w:lang w:eastAsia="ja-JP"/>
        </w:rPr>
      </w:pPr>
      <w:r w:rsidRPr="008C0CAE">
        <w:rPr>
          <w:rFonts w:ascii="Arial" w:eastAsia="MS Mincho" w:hAnsi="Arial" w:cs="Arial"/>
          <w:sz w:val="22"/>
          <w:szCs w:val="22"/>
          <w:lang w:eastAsia="ja-JP"/>
        </w:rPr>
        <w:t xml:space="preserve">De igual manera, se enfatizó que un sistema de rendición de cuentas integrado permitirá que los ciudadanos conozcan de manera sencilla y oportuna la información, además de ofrecerle las explicaciones y justificaciones razonables y detalladas sobre las acciones públicas, sus resultados y consecuencias. De tal manera que se estará en posibilidad de delimitar responsabilidades, brindar incentivos para la buena gestión y, en su caso, sancionar conductas corruptas. </w:t>
      </w:r>
    </w:p>
    <w:p w:rsidR="0022687E" w:rsidRPr="0022687E" w:rsidRDefault="0022687E" w:rsidP="0022687E">
      <w:pPr>
        <w:spacing w:after="200"/>
        <w:rPr>
          <w:rFonts w:ascii="Arial" w:eastAsia="MS Mincho" w:hAnsi="Arial" w:cs="Arial"/>
          <w:lang w:val="es-ES_tradnl" w:eastAsia="ja-JP"/>
        </w:rPr>
      </w:pPr>
    </w:p>
    <w:p w:rsidR="0022687E" w:rsidRPr="0022687E" w:rsidRDefault="0022687E" w:rsidP="0022687E">
      <w:pPr>
        <w:numPr>
          <w:ilvl w:val="1"/>
          <w:numId w:val="41"/>
        </w:numPr>
        <w:spacing w:after="200" w:line="360" w:lineRule="auto"/>
        <w:contextualSpacing/>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Objetivos estratégicos</w:t>
      </w:r>
    </w:p>
    <w:p w:rsidR="0022687E" w:rsidRPr="008C0CAE"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C0CAE">
        <w:rPr>
          <w:rFonts w:ascii="Arial" w:eastAsia="MS Mincho" w:hAnsi="Arial" w:cs="Arial"/>
          <w:sz w:val="22"/>
          <w:szCs w:val="22"/>
          <w:lang w:eastAsia="ja-JP"/>
        </w:rPr>
        <w:t>Para el desarrollo de una planeación estratégica, en el eje de gobierno abierto,  se plantearon los siguientes objetivos estratégicos como necesarios para alcanzar un modelo de gobierno abierto a la ciudadanía:</w:t>
      </w:r>
    </w:p>
    <w:p w:rsidR="0022687E" w:rsidRPr="0022687E" w:rsidRDefault="0022687E" w:rsidP="0022687E">
      <w:pPr>
        <w:spacing w:after="200" w:line="360" w:lineRule="auto"/>
        <w:jc w:val="both"/>
        <w:rPr>
          <w:rFonts w:ascii="Arial" w:eastAsia="MS Mincho" w:hAnsi="Arial" w:cs="Arial"/>
          <w:b/>
          <w:color w:val="A01C5E"/>
          <w:sz w:val="32"/>
          <w:szCs w:val="32"/>
          <w:lang w:val="es-ES_tradnl" w:eastAsia="ja-JP"/>
        </w:rPr>
      </w:pPr>
    </w:p>
    <w:p w:rsidR="0022687E" w:rsidRPr="0022687E" w:rsidRDefault="0022687E" w:rsidP="0022687E">
      <w:pPr>
        <w:spacing w:after="200" w:line="360" w:lineRule="auto"/>
        <w:jc w:val="center"/>
        <w:rPr>
          <w:rFonts w:ascii="Arial" w:eastAsia="MS Mincho" w:hAnsi="Arial" w:cs="Arial"/>
          <w:b/>
          <w:color w:val="8064A2"/>
          <w:sz w:val="32"/>
          <w:szCs w:val="32"/>
          <w:lang w:val="es-ES_tradnl" w:eastAsia="ja-JP"/>
        </w:rPr>
      </w:pPr>
      <w:r w:rsidRPr="0022687E">
        <w:rPr>
          <w:rFonts w:ascii="Arial" w:eastAsia="MS Mincho" w:hAnsi="Arial" w:cs="Arial"/>
          <w:noProof/>
          <w:lang w:val="es-MX" w:eastAsia="es-MX"/>
        </w:rPr>
        <w:drawing>
          <wp:inline distT="0" distB="0" distL="0" distR="0" wp14:anchorId="0231248A" wp14:editId="3253704A">
            <wp:extent cx="3886200" cy="1953895"/>
            <wp:effectExtent l="0" t="38100" r="0" b="0"/>
            <wp:docPr id="165" name="Diagrama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22687E" w:rsidRPr="0022687E" w:rsidRDefault="0022687E" w:rsidP="0022687E">
      <w:pPr>
        <w:spacing w:after="200" w:line="360" w:lineRule="auto"/>
        <w:ind w:firstLine="708"/>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lastRenderedPageBreak/>
        <w:t>2.2.1. Participación ciudadana</w:t>
      </w:r>
    </w:p>
    <w:p w:rsidR="0022687E" w:rsidRPr="0022687E" w:rsidRDefault="0022687E" w:rsidP="0022687E">
      <w:pPr>
        <w:spacing w:after="200" w:line="360" w:lineRule="auto"/>
        <w:jc w:val="both"/>
        <w:rPr>
          <w:rFonts w:ascii="Arial" w:eastAsia="MS Mincho" w:hAnsi="Arial" w:cs="Arial"/>
          <w:i/>
          <w:color w:val="B90773"/>
          <w:lang w:val="es-ES_tradnl" w:eastAsia="ja-JP"/>
        </w:rPr>
      </w:pPr>
      <w:r w:rsidRPr="0022687E">
        <w:rPr>
          <w:rFonts w:ascii="Arial" w:eastAsia="MS Mincho" w:hAnsi="Arial" w:cs="Arial"/>
          <w:i/>
          <w:color w:val="B90773"/>
          <w:lang w:val="es-ES_tradnl" w:eastAsia="ja-JP"/>
        </w:rPr>
        <w:t xml:space="preserve">Establecer mecanismos que incentiven y faciliten la participación ciudadana en los procesos decisorios de la administración pública municipal.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El gobierno debe funcionar dentro de un ambiente de transparencia, abierto a la ciudadanía y sujeto al escrutinio de la opinión pública.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La participación ciudadana es un componente esencial en la democracia, por lo que es necesario dotar a la población de herramientas útiles y accesibles que incentiven su participación y colaboración en el desarrollo de las funciones públicas. </w:t>
      </w:r>
    </w:p>
    <w:p w:rsidR="0022687E" w:rsidRPr="008C0CAE" w:rsidRDefault="0022687E" w:rsidP="0022687E">
      <w:pPr>
        <w:spacing w:after="200" w:line="360" w:lineRule="auto"/>
        <w:jc w:val="both"/>
        <w:rPr>
          <w:rFonts w:ascii="Arial" w:hAnsi="Arial" w:cs="Arial"/>
          <w:sz w:val="22"/>
          <w:szCs w:val="22"/>
          <w:lang w:eastAsia="ja-JP"/>
        </w:rPr>
      </w:pPr>
      <w:r w:rsidRPr="008C0CAE">
        <w:rPr>
          <w:rFonts w:ascii="Arial" w:eastAsia="MS Mincho" w:hAnsi="Arial" w:cs="Arial"/>
          <w:sz w:val="22"/>
          <w:szCs w:val="22"/>
          <w:lang w:val="es-ES_tradnl" w:eastAsia="ja-JP"/>
        </w:rPr>
        <w:t>De acuerdo con el artículo 6º de la Carta Democrática Interamericana, “</w:t>
      </w:r>
      <w:r w:rsidRPr="008C0CAE">
        <w:rPr>
          <w:rFonts w:ascii="Arial" w:hAnsi="Arial" w:cs="Arial"/>
          <w:sz w:val="22"/>
          <w:szCs w:val="22"/>
          <w:lang w:eastAsia="ja-JP"/>
        </w:rPr>
        <w:t>La participación de la ciudadanía en las decisiones relativas a su propio desarrollo es un derecho y una responsabilidad. Es también una condición necesaria para el pleno y efectivo ejercicio de la democracia. Promover y fomentar diversas formas de participación fortalece la democracia.”</w:t>
      </w:r>
    </w:p>
    <w:p w:rsidR="0022687E" w:rsidRPr="008C0CAE" w:rsidRDefault="0022687E" w:rsidP="0022687E">
      <w:pPr>
        <w:spacing w:line="360" w:lineRule="auto"/>
        <w:jc w:val="both"/>
        <w:rPr>
          <w:rFonts w:ascii="Arial" w:hAnsi="Arial" w:cs="Arial"/>
          <w:sz w:val="22"/>
          <w:szCs w:val="22"/>
          <w:lang w:val="es-ES_tradnl"/>
        </w:rPr>
      </w:pPr>
      <w:r w:rsidRPr="008C0CAE">
        <w:rPr>
          <w:rFonts w:ascii="Arial" w:hAnsi="Arial" w:cs="Arial"/>
          <w:sz w:val="22"/>
          <w:szCs w:val="22"/>
          <w:lang w:val="es-ES_tradnl"/>
        </w:rPr>
        <w:t>“La participación pública efectiva se define como el derecho que tienen los actores sociales, tanto colectivos como individuales, de involucrarse activamente, de modo informado, y de ver reflejadas sus preocupaciones y necesidades en el proceso de toma de decisiones públicas (ITDP, 2015).”</w:t>
      </w:r>
    </w:p>
    <w:p w:rsidR="0022687E" w:rsidRPr="008C0CAE" w:rsidRDefault="0022687E" w:rsidP="0022687E">
      <w:pPr>
        <w:spacing w:line="360" w:lineRule="auto"/>
        <w:jc w:val="both"/>
        <w:rPr>
          <w:rFonts w:ascii="Arial" w:hAnsi="Arial" w:cs="Arial"/>
          <w:sz w:val="22"/>
          <w:szCs w:val="22"/>
          <w:lang w:val="es-ES_tradnl"/>
        </w:rPr>
      </w:pPr>
    </w:p>
    <w:p w:rsidR="0022687E" w:rsidRPr="0022687E" w:rsidRDefault="0022687E" w:rsidP="0022687E">
      <w:pPr>
        <w:spacing w:after="200" w:line="360" w:lineRule="auto"/>
        <w:jc w:val="both"/>
        <w:rPr>
          <w:rFonts w:ascii="Arial" w:eastAsia="MS Mincho" w:hAnsi="Arial" w:cs="Arial"/>
          <w:lang w:val="es-ES_tradnl" w:eastAsia="ja-JP"/>
        </w:rPr>
      </w:pPr>
      <w:r w:rsidRPr="008C0CAE">
        <w:rPr>
          <w:rFonts w:ascii="Arial" w:hAnsi="Arial" w:cs="Arial"/>
          <w:sz w:val="22"/>
          <w:szCs w:val="22"/>
          <w:lang w:eastAsia="ja-JP"/>
        </w:rPr>
        <w:t>Por lo tanto, es necesario que el mismo gobierno comience a incorporar a los ciudadanos en el desarrollo de sus funciones, haciéndolos participes de acciones o conductas en beneficio la sociedad en la que se desenvuelve.</w:t>
      </w:r>
      <w:r w:rsidRPr="0022687E">
        <w:rPr>
          <w:rFonts w:ascii="Arial" w:hAnsi="Arial" w:cs="Arial"/>
          <w:lang w:eastAsia="ja-JP"/>
        </w:rPr>
        <w:t xml:space="preserve">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Tomando en consideración que el Municipio es la institución administrativa y gubernamental más cercana a la sociedad, la colaboración, participación y evaluación de las personas que habitan en él cobra una mayor relevancia en la toma de decisiones </w:t>
      </w:r>
      <w:r w:rsidRPr="008C0CAE">
        <w:rPr>
          <w:rFonts w:ascii="Arial" w:eastAsia="MS Mincho" w:hAnsi="Arial" w:cs="Arial"/>
          <w:sz w:val="22"/>
          <w:szCs w:val="22"/>
          <w:lang w:val="es-ES_tradnl" w:eastAsia="ja-JP"/>
        </w:rPr>
        <w:lastRenderedPageBreak/>
        <w:t>cuya implementación tiene un impacto directo en su desarrollo personal y en la comunidad que le rodea.</w:t>
      </w:r>
    </w:p>
    <w:p w:rsidR="0022687E" w:rsidRPr="0022687E" w:rsidRDefault="0022687E" w:rsidP="0022687E">
      <w:pPr>
        <w:spacing w:after="200" w:line="360" w:lineRule="auto"/>
        <w:ind w:firstLine="708"/>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2.2.2. Transparencia</w:t>
      </w:r>
    </w:p>
    <w:p w:rsidR="0022687E" w:rsidRPr="0022687E" w:rsidRDefault="0022687E" w:rsidP="0022687E">
      <w:pPr>
        <w:spacing w:after="200" w:line="360" w:lineRule="auto"/>
        <w:jc w:val="both"/>
        <w:rPr>
          <w:rFonts w:ascii="Arial" w:eastAsia="MS Mincho" w:hAnsi="Arial" w:cs="Arial"/>
          <w:i/>
          <w:color w:val="B90773"/>
          <w:lang w:val="es-ES_tradnl" w:eastAsia="ja-JP"/>
        </w:rPr>
      </w:pPr>
      <w:r w:rsidRPr="0022687E">
        <w:rPr>
          <w:rFonts w:ascii="Arial" w:eastAsia="MS Mincho" w:hAnsi="Arial" w:cs="Arial"/>
          <w:i/>
          <w:color w:val="B90773"/>
          <w:lang w:val="es-ES_tradnl" w:eastAsia="ja-JP"/>
        </w:rPr>
        <w:t xml:space="preserve">Ser una administración pública transparente que ponga a disposición de la ciudadanía la información pública de manera ágil, útil y accesible. </w:t>
      </w:r>
    </w:p>
    <w:p w:rsidR="0022687E" w:rsidRPr="008C0CAE" w:rsidRDefault="0022687E" w:rsidP="0022687E">
      <w:pPr>
        <w:spacing w:after="200" w:line="360" w:lineRule="auto"/>
        <w:contextualSpacing/>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El gobierno municipal estará comprometido con mejorar la transparencia en el ejercicio de sus funciones, sistematizando la información pública y manteniendo un acceso ágil, asequible y sencillo a la misma. </w:t>
      </w:r>
    </w:p>
    <w:p w:rsidR="0022687E" w:rsidRPr="0022687E" w:rsidRDefault="0022687E" w:rsidP="0022687E">
      <w:pPr>
        <w:ind w:left="567" w:right="701"/>
        <w:jc w:val="both"/>
        <w:rPr>
          <w:rFonts w:ascii="Arial" w:hAnsi="Arial" w:cs="Arial"/>
          <w:sz w:val="22"/>
          <w:szCs w:val="22"/>
          <w:lang w:val="es-ES_tradnl"/>
        </w:rPr>
      </w:pPr>
      <w:r w:rsidRPr="0022687E">
        <w:rPr>
          <w:rFonts w:ascii="Arial" w:hAnsi="Arial" w:cs="Arial"/>
          <w:sz w:val="22"/>
          <w:szCs w:val="22"/>
          <w:lang w:val="es-ES_tradnl"/>
        </w:rPr>
        <w:t>“El acceso a la información constituye una herramienta esencial para combatir la corrupción, hacer realidad el principio de transparencia en la gestión pública y mejorar la calidad de nuestras democracias, signadas por una cultura de secretismo y por organismos públicos cuyas políticas y prácticas de manejo físico de la información no están orientadas a facilitar el acceso de las personas a la misma (CIDH, 2007)”.</w:t>
      </w:r>
    </w:p>
    <w:p w:rsidR="0022687E" w:rsidRPr="0022687E" w:rsidRDefault="0022687E" w:rsidP="0022687E">
      <w:pPr>
        <w:spacing w:after="200" w:line="360" w:lineRule="auto"/>
        <w:contextualSpacing/>
        <w:jc w:val="both"/>
        <w:rPr>
          <w:rFonts w:ascii="Arial" w:eastAsia="MS Mincho" w:hAnsi="Arial" w:cs="Arial"/>
          <w:lang w:val="es-ES_tradnl" w:eastAsia="ja-JP"/>
        </w:rPr>
      </w:pPr>
    </w:p>
    <w:p w:rsidR="0022687E" w:rsidRPr="008C0CAE" w:rsidRDefault="0022687E" w:rsidP="0022687E">
      <w:pPr>
        <w:spacing w:after="200" w:line="360" w:lineRule="auto"/>
        <w:contextualSpacing/>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Resulta necesario destacar que la información es de los ciudadanos. No pertenece al Municipio, quien únicamente la posee al ser representante de los individuos.</w:t>
      </w:r>
    </w:p>
    <w:p w:rsidR="0022687E" w:rsidRPr="008C0CAE" w:rsidRDefault="0022687E" w:rsidP="0022687E">
      <w:pPr>
        <w:spacing w:after="200" w:line="360" w:lineRule="auto"/>
        <w:contextualSpacing/>
        <w:jc w:val="both"/>
        <w:rPr>
          <w:rFonts w:ascii="Arial" w:hAnsi="Arial" w:cs="Arial"/>
          <w:sz w:val="22"/>
          <w:szCs w:val="22"/>
          <w:lang w:val="es-ES_tradnl"/>
        </w:rPr>
      </w:pPr>
      <w:r w:rsidRPr="008C0CAE">
        <w:rPr>
          <w:rFonts w:ascii="Arial" w:hAnsi="Arial" w:cs="Arial"/>
          <w:sz w:val="22"/>
          <w:szCs w:val="22"/>
          <w:lang w:val="es-ES_tradnl"/>
        </w:rPr>
        <w:t xml:space="preserve">Es por ello que la administración pública municipal 2015-2018 asume el compromiso para respetar y garantizar el derecho al acceso a la información pública de todas las personas, mediante la adecuación de su marco normativo, la innovación en la gestión y difusión de acceso a la información. </w:t>
      </w:r>
    </w:p>
    <w:p w:rsidR="0022687E" w:rsidRDefault="0022687E" w:rsidP="0022687E">
      <w:pPr>
        <w:spacing w:after="200" w:line="360" w:lineRule="auto"/>
        <w:contextualSpacing/>
        <w:jc w:val="both"/>
        <w:rPr>
          <w:rFonts w:ascii="Arial" w:hAnsi="Arial" w:cs="Arial"/>
          <w:sz w:val="22"/>
          <w:szCs w:val="22"/>
          <w:lang w:val="es-ES_tradnl"/>
        </w:rPr>
      </w:pPr>
      <w:r w:rsidRPr="008C0CAE">
        <w:rPr>
          <w:rFonts w:ascii="Arial" w:hAnsi="Arial" w:cs="Arial"/>
          <w:sz w:val="22"/>
          <w:szCs w:val="22"/>
          <w:lang w:val="es-ES_tradnl"/>
        </w:rPr>
        <w:t>Además, como parte de una estrategia integral de Gobierno Abierto, es necesario promover una cultura de transparencia en la sociedad y en el sector público, de actuar con la debida diligencia en la promoción del acceso a la información, de identificar a quienes deben proveer la información, y de prevenir los actos que lo nieguen y sancionar a sus infractores.</w:t>
      </w:r>
    </w:p>
    <w:p w:rsidR="008C0CAE" w:rsidRPr="008C0CAE" w:rsidRDefault="008C0CAE" w:rsidP="0022687E">
      <w:pPr>
        <w:spacing w:after="200" w:line="360" w:lineRule="auto"/>
        <w:contextualSpacing/>
        <w:jc w:val="both"/>
        <w:rPr>
          <w:rFonts w:ascii="Arial" w:eastAsia="MS Mincho" w:hAnsi="Arial" w:cs="Arial"/>
          <w:sz w:val="22"/>
          <w:szCs w:val="22"/>
          <w:lang w:val="es-ES_tradnl" w:eastAsia="ja-JP"/>
        </w:rPr>
      </w:pPr>
    </w:p>
    <w:p w:rsidR="0022687E" w:rsidRPr="0022687E" w:rsidRDefault="0022687E" w:rsidP="0022687E">
      <w:pPr>
        <w:spacing w:after="200" w:line="360" w:lineRule="auto"/>
        <w:contextualSpacing/>
        <w:jc w:val="both"/>
        <w:rPr>
          <w:rFonts w:ascii="Arial" w:eastAsia="MS Mincho" w:hAnsi="Arial" w:cs="Arial"/>
          <w:lang w:val="es-ES_tradnl" w:eastAsia="ja-JP"/>
        </w:rPr>
      </w:pPr>
    </w:p>
    <w:p w:rsidR="0022687E" w:rsidRPr="0022687E" w:rsidRDefault="0022687E" w:rsidP="0022687E">
      <w:pPr>
        <w:spacing w:after="200" w:line="360" w:lineRule="auto"/>
        <w:ind w:firstLine="708"/>
        <w:contextualSpacing/>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lastRenderedPageBreak/>
        <w:t>2.2.3. Rendición de cuentas</w:t>
      </w:r>
    </w:p>
    <w:p w:rsidR="0022687E" w:rsidRPr="0022687E" w:rsidRDefault="0022687E" w:rsidP="0022687E">
      <w:pPr>
        <w:spacing w:after="200" w:line="360" w:lineRule="auto"/>
        <w:jc w:val="both"/>
        <w:rPr>
          <w:rFonts w:ascii="Arial" w:eastAsia="MS Mincho" w:hAnsi="Arial" w:cs="Arial"/>
          <w:i/>
          <w:color w:val="B90773"/>
          <w:lang w:val="es-ES_tradnl" w:eastAsia="ja-JP"/>
        </w:rPr>
      </w:pPr>
      <w:r w:rsidRPr="0022687E">
        <w:rPr>
          <w:rFonts w:ascii="Arial" w:eastAsia="MS Mincho" w:hAnsi="Arial" w:cs="Arial"/>
          <w:i/>
          <w:color w:val="B90773"/>
          <w:lang w:val="es-ES_tradnl" w:eastAsia="ja-JP"/>
        </w:rPr>
        <w:t xml:space="preserve">Institucionalizar procedimientos de participación ciudadana en el control y la evaluación de los servicios que presta el municipio.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La rendición de cuentas es el conjunto de actos a través de los cuales, el gobierno informa a los ciudadanos los alcances de la gestión pública, los objetivos, metas, avances y resultados.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El aumento de canales de comunicación del gobierno y la sociedad contribuye a mejorar el desarrollo de la función pública, pues permite a éste conocer las inquietudes, quejas, demandas y denuncias respecto de los servicios públicos que presta el Municipio, así como del desempeño de los servidores públicos, orientando con ello el desarrollo de la administración hacia las necesidades y demandas de la sociedad.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Así mismo, la información no puede fluir en un solo sentido, sino que tanto la sociedad como el gobierno deben fungir como emisores y receptores para lograr una comunicación eficiente y productiva, de manera que la sociedad conozca las actividades, decisiones, avances y otros aspectos importantes en la gestión pública.</w:t>
      </w:r>
    </w:p>
    <w:p w:rsidR="0022687E" w:rsidRPr="008C0CAE" w:rsidRDefault="0022687E" w:rsidP="0022687E">
      <w:pPr>
        <w:spacing w:line="360" w:lineRule="auto"/>
        <w:jc w:val="both"/>
        <w:rPr>
          <w:rFonts w:ascii="Arial" w:hAnsi="Arial" w:cs="Arial"/>
          <w:sz w:val="22"/>
          <w:szCs w:val="22"/>
          <w:lang w:val="es-ES_tradnl"/>
        </w:rPr>
      </w:pPr>
      <w:r w:rsidRPr="008C0CAE">
        <w:rPr>
          <w:rFonts w:ascii="Arial" w:hAnsi="Arial" w:cs="Arial"/>
          <w:sz w:val="22"/>
          <w:szCs w:val="22"/>
          <w:lang w:val="es-ES_tradnl"/>
        </w:rPr>
        <w:t>Si desde la perspectiva de la relación “principal-agente” entendemos que el Municipio es agente de la sociedad y ésta su principal, entonces aquél debe responder ante la sociedad respecto del ejercicio de las atribuciones conferidas y los resultados derivados de las mismas.</w:t>
      </w:r>
      <w:r w:rsidRPr="008C0CAE">
        <w:rPr>
          <w:rFonts w:ascii="Arial" w:hAnsi="Arial" w:cs="Arial"/>
          <w:sz w:val="22"/>
          <w:szCs w:val="22"/>
          <w:vertAlign w:val="superscript"/>
          <w:lang w:val="es-ES_tradnl"/>
        </w:rPr>
        <w:footnoteReference w:id="7"/>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De acuerdo con la Ley de Gobierno Municipal vigente en el Estado de Nuevo León, el Plan Municipal de Desarrollo viene a constituir una herramienta de rendición de cuentas </w:t>
      </w:r>
      <w:r w:rsidRPr="008C0CAE">
        <w:rPr>
          <w:rFonts w:ascii="Arial" w:eastAsia="MS Mincho" w:hAnsi="Arial" w:cs="Arial"/>
          <w:sz w:val="22"/>
          <w:szCs w:val="22"/>
          <w:lang w:val="es-ES_tradnl" w:eastAsia="ja-JP"/>
        </w:rPr>
        <w:lastRenderedPageBreak/>
        <w:t xml:space="preserve">al incluir metas e indicadores que permitirán evaluar el desempeño de la administración pública en el cumplimiento de sus objetivos planteados.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Como parte de una visión integradora, una administración pública eficiente requiere </w:t>
      </w:r>
      <w:r w:rsidRPr="008C0CAE">
        <w:rPr>
          <w:rFonts w:ascii="Arial" w:hAnsi="Arial" w:cs="Arial"/>
          <w:sz w:val="22"/>
          <w:szCs w:val="22"/>
          <w:lang w:val="es-ES_tradnl"/>
        </w:rPr>
        <w:t>un proceso de rendición de cuentas tanto interno como externo, siendo el primero la evaluación hecha a los funcionarios por sus superiores sobre su desempeño, respecto a los resultados obtenidos y los insumos utilizados.  En tanto, la rendición de cuentas externa no basta con garantizar el acceso a la información pública, sino que debe proveer una justificación sobre las acciones realizadas y los resultados obtenidos.</w:t>
      </w:r>
    </w:p>
    <w:p w:rsidR="0022687E" w:rsidRDefault="0022687E" w:rsidP="0022687E">
      <w:pPr>
        <w:spacing w:line="360" w:lineRule="auto"/>
        <w:jc w:val="both"/>
        <w:rPr>
          <w:rFonts w:ascii="Arial" w:hAnsi="Arial" w:cs="Arial"/>
          <w:sz w:val="22"/>
          <w:szCs w:val="22"/>
          <w:lang w:val="es-ES_tradnl"/>
        </w:rPr>
      </w:pPr>
      <w:r w:rsidRPr="008C0CAE">
        <w:rPr>
          <w:rFonts w:ascii="Arial" w:hAnsi="Arial" w:cs="Arial"/>
          <w:sz w:val="22"/>
          <w:szCs w:val="22"/>
          <w:lang w:val="es-ES_tradnl"/>
        </w:rPr>
        <w:t xml:space="preserve">Además, como parte fundamental de la rendición de cuentas, resulta necesario mejorar los procesos de gestión en la investigación, procedimientos y colaboración con otras autoridades competentes en aquellos casos en que algún servidor público haya hecho uso indebido del poder público, del que deriven responsabilidades administrativas y/o penales. </w:t>
      </w:r>
    </w:p>
    <w:p w:rsidR="008C0CAE" w:rsidRPr="008C0CAE" w:rsidRDefault="008C0CAE" w:rsidP="0022687E">
      <w:pPr>
        <w:spacing w:line="360" w:lineRule="auto"/>
        <w:jc w:val="both"/>
        <w:rPr>
          <w:rFonts w:ascii="Arial" w:hAnsi="Arial" w:cs="Arial"/>
          <w:sz w:val="22"/>
          <w:szCs w:val="22"/>
          <w:lang w:val="es-ES_tradnl"/>
        </w:rPr>
      </w:pPr>
    </w:p>
    <w:p w:rsidR="0022687E" w:rsidRPr="0022687E" w:rsidRDefault="0022687E" w:rsidP="0022687E">
      <w:pPr>
        <w:numPr>
          <w:ilvl w:val="1"/>
          <w:numId w:val="41"/>
        </w:numPr>
        <w:spacing w:after="200" w:line="360" w:lineRule="auto"/>
        <w:ind w:hanging="436"/>
        <w:contextualSpacing/>
        <w:jc w:val="both"/>
        <w:rPr>
          <w:rFonts w:ascii="Arial" w:eastAsia="MS Mincho" w:hAnsi="Arial" w:cs="Arial"/>
          <w:b/>
          <w:color w:val="A01F45"/>
          <w:sz w:val="32"/>
          <w:szCs w:val="32"/>
          <w:lang w:val="es-ES_tradnl" w:eastAsia="ja-JP"/>
        </w:rPr>
      </w:pPr>
      <w:r w:rsidRPr="0022687E">
        <w:rPr>
          <w:rFonts w:ascii="Arial" w:eastAsia="MS Mincho" w:hAnsi="Arial" w:cs="Arial"/>
          <w:b/>
          <w:color w:val="A01F45"/>
          <w:sz w:val="32"/>
          <w:szCs w:val="32"/>
          <w:lang w:val="es-ES_tradnl" w:eastAsia="ja-JP"/>
        </w:rPr>
        <w:t>Proyectos estratégicos</w:t>
      </w:r>
    </w:p>
    <w:p w:rsidR="0022687E" w:rsidRPr="008C0CAE"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C0CAE">
        <w:rPr>
          <w:rFonts w:ascii="Arial" w:eastAsia="MS Mincho" w:hAnsi="Arial" w:cs="Arial"/>
          <w:sz w:val="22"/>
          <w:szCs w:val="22"/>
          <w:lang w:eastAsia="ja-JP"/>
        </w:rPr>
        <w:t xml:space="preserve">A partir de los objetivos estratégicos descritos en el eje de gobierno abierto, se desarrollan los proyectos que sirven para contribuir al alcance de estos y que establecen las bases para el desarrollo de las actividades de la administración pública municipal durante el periodo 2015-2018. </w:t>
      </w:r>
      <w:r w:rsidRPr="008C0CAE">
        <w:rPr>
          <w:rFonts w:ascii="Arial" w:eastAsia="MS Mincho" w:hAnsi="Arial" w:cs="Arial"/>
          <w:sz w:val="22"/>
          <w:szCs w:val="22"/>
          <w:vertAlign w:val="superscript"/>
          <w:lang w:eastAsia="ja-JP"/>
        </w:rPr>
        <w:footnoteReference w:id="8"/>
      </w:r>
      <w:r w:rsidRPr="008C0CAE">
        <w:rPr>
          <w:rFonts w:ascii="Arial" w:eastAsia="MS Mincho" w:hAnsi="Arial" w:cs="Arial"/>
          <w:sz w:val="22"/>
          <w:szCs w:val="22"/>
          <w:lang w:eastAsia="ja-JP"/>
        </w:rPr>
        <w:t xml:space="preserve"> </w:t>
      </w:r>
    </w:p>
    <w:p w:rsidR="0022687E" w:rsidRPr="0022687E" w:rsidRDefault="0022687E" w:rsidP="0022687E">
      <w:pPr>
        <w:widowControl w:val="0"/>
        <w:autoSpaceDE w:val="0"/>
        <w:autoSpaceDN w:val="0"/>
        <w:adjustRightInd w:val="0"/>
        <w:spacing w:after="240" w:line="360" w:lineRule="auto"/>
        <w:ind w:hanging="567"/>
        <w:jc w:val="both"/>
        <w:rPr>
          <w:rFonts w:ascii="Arial" w:eastAsia="MS Mincho" w:hAnsi="Arial" w:cs="Arial"/>
          <w:lang w:eastAsia="ja-JP"/>
        </w:rPr>
      </w:pPr>
      <w:r w:rsidRPr="0022687E">
        <w:rPr>
          <w:rFonts w:ascii="Arial" w:eastAsia="MS Mincho" w:hAnsi="Arial" w:cs="Arial"/>
          <w:noProof/>
          <w:lang w:val="es-MX" w:eastAsia="es-MX"/>
        </w:rPr>
        <w:lastRenderedPageBreak/>
        <w:drawing>
          <wp:inline distT="0" distB="0" distL="0" distR="0" wp14:anchorId="78E5ECCD" wp14:editId="27BA6CE2">
            <wp:extent cx="6530975" cy="6684010"/>
            <wp:effectExtent l="0" t="0" r="0" b="0"/>
            <wp:docPr id="17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31570" cy="6684619"/>
                    </a:xfrm>
                    <a:prstGeom prst="rect">
                      <a:avLst/>
                    </a:prstGeom>
                    <a:noFill/>
                    <a:ln>
                      <a:noFill/>
                    </a:ln>
                  </pic:spPr>
                </pic:pic>
              </a:graphicData>
            </a:graphic>
          </wp:inline>
        </w:drawing>
      </w:r>
    </w:p>
    <w:p w:rsidR="0022687E" w:rsidRPr="0022687E" w:rsidRDefault="0022687E" w:rsidP="0022687E">
      <w:pPr>
        <w:numPr>
          <w:ilvl w:val="1"/>
          <w:numId w:val="41"/>
        </w:numPr>
        <w:spacing w:after="200" w:line="360" w:lineRule="auto"/>
        <w:ind w:hanging="436"/>
        <w:contextualSpacing/>
        <w:jc w:val="both"/>
        <w:rPr>
          <w:rFonts w:ascii="Arial" w:eastAsia="MS Mincho" w:hAnsi="Arial" w:cs="Arial"/>
          <w:b/>
          <w:color w:val="A01F45"/>
          <w:sz w:val="32"/>
          <w:szCs w:val="32"/>
          <w:lang w:val="es-ES_tradnl" w:eastAsia="ja-JP"/>
        </w:rPr>
      </w:pPr>
      <w:r w:rsidRPr="0022687E">
        <w:rPr>
          <w:rFonts w:ascii="Arial" w:eastAsia="MS Mincho" w:hAnsi="Arial" w:cs="Arial"/>
          <w:b/>
          <w:color w:val="A01F45"/>
          <w:sz w:val="32"/>
          <w:szCs w:val="32"/>
          <w:lang w:val="es-ES_tradnl" w:eastAsia="ja-JP"/>
        </w:rPr>
        <w:lastRenderedPageBreak/>
        <w:t>Metas e indicadores</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lang w:eastAsia="ja-JP"/>
        </w:rPr>
      </w:pPr>
      <w:r w:rsidRPr="0022687E">
        <w:rPr>
          <w:rFonts w:ascii="Arial" w:eastAsia="MS Mincho" w:hAnsi="Arial" w:cs="Arial"/>
          <w:lang w:eastAsia="ja-JP"/>
        </w:rPr>
        <w:t>Con el objeto de medir el cumplimiento de los objetivos estratégicos y dando cumplimiento a lo dispuesto por el artículo 152 de la Ley de Gobierno Municipal del Estado de Nuevo León, se establecen las metas para el eje de gobierno abierto y los indicadores que permitirán evaluar el alcance de las mismas.</w:t>
      </w:r>
    </w:p>
    <w:p w:rsidR="0022687E" w:rsidRPr="0022687E" w:rsidRDefault="0022687E" w:rsidP="0022687E">
      <w:pPr>
        <w:widowControl w:val="0"/>
        <w:autoSpaceDE w:val="0"/>
        <w:autoSpaceDN w:val="0"/>
        <w:adjustRightInd w:val="0"/>
        <w:spacing w:after="240" w:line="360" w:lineRule="auto"/>
        <w:ind w:hanging="567"/>
        <w:jc w:val="both"/>
        <w:rPr>
          <w:rFonts w:ascii="Times" w:eastAsia="MS Mincho" w:hAnsi="Times" w:cs="Times"/>
          <w:lang w:eastAsia="ja-JP"/>
        </w:rPr>
      </w:pPr>
      <w:r w:rsidRPr="0022687E">
        <w:rPr>
          <w:rFonts w:ascii="Times" w:eastAsia="MS Mincho" w:hAnsi="Times" w:cs="Times"/>
          <w:noProof/>
          <w:lang w:val="es-MX" w:eastAsia="es-MX"/>
        </w:rPr>
        <w:drawing>
          <wp:inline distT="0" distB="0" distL="0" distR="0" wp14:anchorId="5EDDE060" wp14:editId="00F5B7EB">
            <wp:extent cx="6302375" cy="4469765"/>
            <wp:effectExtent l="0" t="0" r="0" b="635"/>
            <wp:docPr id="17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2592" cy="4469919"/>
                    </a:xfrm>
                    <a:prstGeom prst="rect">
                      <a:avLst/>
                    </a:prstGeom>
                    <a:noFill/>
                    <a:ln>
                      <a:noFill/>
                    </a:ln>
                  </pic:spPr>
                </pic:pic>
              </a:graphicData>
            </a:graphic>
          </wp:inline>
        </w:drawing>
      </w:r>
    </w:p>
    <w:p w:rsidR="0022687E" w:rsidRPr="0022687E" w:rsidRDefault="0022687E" w:rsidP="0022687E">
      <w:pPr>
        <w:spacing w:after="200"/>
        <w:rPr>
          <w:rFonts w:ascii="Arial" w:eastAsia="MS Mincho" w:hAnsi="Arial" w:cs="Arial"/>
          <w:b/>
          <w:color w:val="4BACC6"/>
          <w:sz w:val="40"/>
          <w:szCs w:val="40"/>
          <w:lang w:val="es-ES_tradnl" w:eastAsia="ja-JP"/>
        </w:rPr>
      </w:pPr>
    </w:p>
    <w:p w:rsidR="0022687E" w:rsidRPr="0022687E" w:rsidRDefault="0022687E" w:rsidP="0022687E">
      <w:pPr>
        <w:spacing w:after="200" w:line="360" w:lineRule="auto"/>
        <w:jc w:val="both"/>
        <w:rPr>
          <w:rFonts w:ascii="Arial" w:eastAsia="MS Mincho" w:hAnsi="Arial" w:cs="Arial"/>
          <w:b/>
          <w:color w:val="4BACC6"/>
          <w:sz w:val="40"/>
          <w:szCs w:val="40"/>
          <w:lang w:val="es-ES_tradnl" w:eastAsia="ja-JP"/>
        </w:rPr>
      </w:pPr>
      <w:r w:rsidRPr="0022687E">
        <w:rPr>
          <w:rFonts w:ascii="Arial" w:eastAsia="MS Mincho" w:hAnsi="Arial" w:cs="Arial"/>
          <w:b/>
          <w:color w:val="4BACC6"/>
          <w:sz w:val="72"/>
          <w:szCs w:val="72"/>
          <w:lang w:val="es-ES_tradnl" w:eastAsia="ja-JP"/>
        </w:rPr>
        <w:lastRenderedPageBreak/>
        <w:t xml:space="preserve">3 </w:t>
      </w:r>
      <w:r w:rsidRPr="0022687E">
        <w:rPr>
          <w:rFonts w:ascii="Arial" w:eastAsia="MS Mincho" w:hAnsi="Arial" w:cs="Arial"/>
          <w:b/>
          <w:color w:val="4BACC6"/>
          <w:sz w:val="40"/>
          <w:szCs w:val="40"/>
          <w:lang w:val="es-ES_tradnl" w:eastAsia="ja-JP"/>
        </w:rPr>
        <w:t>Derechos Humanos e inclusión social</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A partir de la reforma constitucional de junio de 2011, todas las autoridades tienen la obligación de promover, respetar, proteger y garantizar los derechos humanos dispuestos en la Constitución Política de los Estados Unidos Mexicanos y los tratados internacionales de los que México sea parte, conforme a los principios de universalidad, independencia, indivisibilidad y progresividad. </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Para dar cumplimiento a este mandato constitucional, esta administración municipal encuentra de suma importancia adoptar un enfoque de derechos humanos en el diseño de las políticas públicas y en la organización del aparato gubernamental, orientando su desarrollo al respeto, protección y a generar las condiciones que aseguren su pleno goce y ejercicio.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La garantía de los derechos humanos constituye un componente esencial de los mismos, pues implica que ante alguna vulneración o restricción de éstos, se cuente con mecanismos efectivos para la restitución del derecho conculcado, así como las garantías de no repetición. </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color w:val="000000"/>
          <w:sz w:val="22"/>
          <w:szCs w:val="22"/>
          <w:lang w:val="es-ES_tradnl" w:eastAsia="ja-JP"/>
        </w:rPr>
        <w:t>Para ello, esta administración asume el compromiso ante la prevención de violaciones a derechos humanos mediante la capacitación de los servidores públicos, así como la implementación de mecanismos que aseguren la restitución de los derechos vulnerados por los servidores públicos municipales en el ejercicio de sus funciones.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Reconociendo que el ejercicio y goce de derechos humanos no se desarrolla en las mismas condiciones para todas las personas, debido a las circunstancias particulares que pudieran situar a una persona o grupo en situación desigual, vulnerable o en riesgo de vulnerabilidad, esta administración ve la necesidad de incorporar la “inclusión social” como uno de sus objetivos principales.  </w:t>
      </w:r>
      <w:r w:rsidRPr="008B2B99">
        <w:rPr>
          <w:rFonts w:ascii="Arial" w:eastAsia="MS Mincho" w:hAnsi="Arial" w:cs="Arial"/>
          <w:sz w:val="22"/>
          <w:szCs w:val="22"/>
          <w:lang w:val="es-ES_tradnl" w:eastAsia="ja-JP"/>
        </w:rPr>
        <w:tab/>
      </w:r>
    </w:p>
    <w:p w:rsidR="0022687E" w:rsidRPr="0022687E" w:rsidRDefault="0022687E" w:rsidP="0022687E">
      <w:pPr>
        <w:widowControl w:val="0"/>
        <w:numPr>
          <w:ilvl w:val="1"/>
          <w:numId w:val="42"/>
        </w:numPr>
        <w:autoSpaceDE w:val="0"/>
        <w:autoSpaceDN w:val="0"/>
        <w:adjustRightInd w:val="0"/>
        <w:spacing w:after="240" w:line="360" w:lineRule="auto"/>
        <w:ind w:hanging="436"/>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lastRenderedPageBreak/>
        <w:t>Aportaciones ciudadanas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de la población respecto a las soluciones y alternativas del Municipio para contribuir a garantizar el goce y ejercicio de los derechos humanos de todas las personas que habitan en él.  </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drawing>
          <wp:inline distT="0" distB="0" distL="0" distR="0" wp14:anchorId="375481E3" wp14:editId="4007A054">
            <wp:extent cx="5396230" cy="2814743"/>
            <wp:effectExtent l="25400" t="25400" r="13970" b="30480"/>
            <wp:docPr id="18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6230" cy="2814743"/>
                    </a:xfrm>
                    <a:prstGeom prst="rect">
                      <a:avLst/>
                    </a:prstGeom>
                    <a:noFill/>
                    <a:ln>
                      <a:solidFill>
                        <a:srgbClr val="4BACC6"/>
                      </a:solidFill>
                    </a:ln>
                  </pic:spPr>
                </pic:pic>
              </a:graphicData>
            </a:graphic>
          </wp:inline>
        </w:drawing>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lastRenderedPageBreak/>
        <w:drawing>
          <wp:inline distT="0" distB="0" distL="0" distR="0" wp14:anchorId="035C4A7B" wp14:editId="06A20B35">
            <wp:extent cx="5396230" cy="2826597"/>
            <wp:effectExtent l="0" t="0" r="0" b="0"/>
            <wp:docPr id="1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6230" cy="2826597"/>
                    </a:xfrm>
                    <a:prstGeom prst="rect">
                      <a:avLst/>
                    </a:prstGeom>
                    <a:noFill/>
                    <a:ln>
                      <a:noFill/>
                    </a:ln>
                  </pic:spPr>
                </pic:pic>
              </a:graphicData>
            </a:graphic>
          </wp:inline>
        </w:drawing>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Así mismo, como producto de las mesas de trabajo desarrolladas durante el foro, se elaboraron algunas propuestas para ser incluidas dentro del Plan Municipal de Desarrollo 2015-2018, tales como las siguientes: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Generar un padrón de beneficiarios para evitar la duplicidad de las ayudas proporcionadas por el Municipio.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Generar apoyos y facilidades a las personas que se encuentran en condición vulnerable.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Fortalecer la coordinación con organizaciones de la sociedad civil.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Desarrollar los centros de bienestar familiar como centros para fomentar e incentivar la convivencia de las familias.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Generar políticas que contribuyan a la </w:t>
      </w:r>
      <w:proofErr w:type="spellStart"/>
      <w:r w:rsidRPr="008B2B99">
        <w:rPr>
          <w:rFonts w:ascii="Arial" w:eastAsia="MS Mincho" w:hAnsi="Arial" w:cs="Arial"/>
          <w:sz w:val="22"/>
          <w:szCs w:val="22"/>
          <w:lang w:eastAsia="ja-JP"/>
        </w:rPr>
        <w:t>parentalidad</w:t>
      </w:r>
      <w:proofErr w:type="spellEnd"/>
      <w:r w:rsidRPr="008B2B99">
        <w:rPr>
          <w:rFonts w:ascii="Arial" w:eastAsia="MS Mincho" w:hAnsi="Arial" w:cs="Arial"/>
          <w:sz w:val="22"/>
          <w:szCs w:val="22"/>
          <w:lang w:eastAsia="ja-JP"/>
        </w:rPr>
        <w:t xml:space="preserve"> positiva y la prevención de la violencia familiar.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Desarrollar estrategias integrales de apoyos a los adultos mayores, que incluyan aspectos de formación y capacitación, accesibilidad, salud, cultura, entre otros.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Generar estrategias accesibilidad e inclusión para personas con discapacidad.</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lastRenderedPageBreak/>
        <w:t xml:space="preserve">Promover la cultura de la paz y mecanismos de protección y asistencia a víctimas del delito. </w:t>
      </w:r>
    </w:p>
    <w:p w:rsidR="0022687E" w:rsidRPr="0022687E" w:rsidRDefault="0022687E" w:rsidP="0022687E">
      <w:pPr>
        <w:widowControl w:val="0"/>
        <w:numPr>
          <w:ilvl w:val="1"/>
          <w:numId w:val="42"/>
        </w:numPr>
        <w:autoSpaceDE w:val="0"/>
        <w:autoSpaceDN w:val="0"/>
        <w:adjustRightInd w:val="0"/>
        <w:spacing w:after="240" w:line="360" w:lineRule="auto"/>
        <w:ind w:hanging="436"/>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t>Objetivos estratégicos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Con base en lo anterior y con el fin de desarrollar políticas orientadas al pleno goce y ejercicio de los derechos humanos dentro del Municipio de Monterrey, se definieron </w:t>
      </w:r>
      <w:proofErr w:type="gramStart"/>
      <w:r w:rsidRPr="008B2B99">
        <w:rPr>
          <w:rFonts w:ascii="Arial" w:eastAsia="MS Mincho" w:hAnsi="Arial" w:cs="Arial"/>
          <w:sz w:val="22"/>
          <w:szCs w:val="22"/>
          <w:lang w:eastAsia="ja-JP"/>
        </w:rPr>
        <w:t>los siguiente objetivos estratégicos</w:t>
      </w:r>
      <w:proofErr w:type="gramEnd"/>
      <w:r w:rsidRPr="008B2B99">
        <w:rPr>
          <w:rFonts w:ascii="Arial" w:eastAsia="MS Mincho" w:hAnsi="Arial" w:cs="Arial"/>
          <w:sz w:val="22"/>
          <w:szCs w:val="22"/>
          <w:lang w:eastAsia="ja-JP"/>
        </w:rPr>
        <w:t xml:space="preserve"> dentro del presente eje:</w:t>
      </w:r>
    </w:p>
    <w:p w:rsidR="0022687E" w:rsidRPr="0022687E" w:rsidRDefault="0022687E" w:rsidP="0022687E">
      <w:pPr>
        <w:widowControl w:val="0"/>
        <w:autoSpaceDE w:val="0"/>
        <w:autoSpaceDN w:val="0"/>
        <w:adjustRightInd w:val="0"/>
        <w:spacing w:after="240" w:line="360" w:lineRule="auto"/>
        <w:jc w:val="center"/>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drawing>
          <wp:inline distT="0" distB="0" distL="0" distR="0" wp14:anchorId="6BB46901" wp14:editId="032D3517">
            <wp:extent cx="3432175" cy="1600835"/>
            <wp:effectExtent l="0" t="0" r="0" b="0"/>
            <wp:docPr id="184" name="Diagrama 1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22687E" w:rsidRPr="0022687E" w:rsidRDefault="0022687E" w:rsidP="0022687E">
      <w:pPr>
        <w:spacing w:after="200" w:line="360" w:lineRule="auto"/>
        <w:ind w:firstLine="708"/>
        <w:jc w:val="both"/>
        <w:rPr>
          <w:rFonts w:ascii="Arial" w:eastAsia="MS Mincho" w:hAnsi="Arial" w:cs="Arial"/>
          <w:b/>
          <w:color w:val="4BACC6"/>
          <w:sz w:val="32"/>
          <w:szCs w:val="32"/>
          <w:lang w:val="es-ES_tradnl" w:eastAsia="ja-JP"/>
        </w:rPr>
      </w:pPr>
      <w:r w:rsidRPr="0022687E">
        <w:rPr>
          <w:rFonts w:ascii="Arial" w:eastAsia="MS Mincho" w:hAnsi="Arial" w:cs="Arial"/>
          <w:b/>
          <w:color w:val="4BACC6"/>
          <w:sz w:val="32"/>
          <w:szCs w:val="32"/>
          <w:lang w:val="es-ES_tradnl" w:eastAsia="ja-JP"/>
        </w:rPr>
        <w:t>3.2.1.  Promoción de Derechos Humanos</w:t>
      </w:r>
    </w:p>
    <w:p w:rsidR="0022687E" w:rsidRPr="0022687E" w:rsidRDefault="0022687E" w:rsidP="0022687E">
      <w:pPr>
        <w:spacing w:after="200" w:line="360" w:lineRule="auto"/>
        <w:jc w:val="both"/>
        <w:rPr>
          <w:rFonts w:ascii="Arial" w:eastAsia="MS Mincho" w:hAnsi="Arial" w:cs="Arial"/>
          <w:i/>
          <w:color w:val="4BACC6"/>
          <w:lang w:val="es-ES_tradnl" w:eastAsia="ja-JP"/>
        </w:rPr>
      </w:pPr>
      <w:r w:rsidRPr="0022687E">
        <w:rPr>
          <w:rFonts w:ascii="Arial" w:eastAsia="MS Mincho" w:hAnsi="Arial" w:cs="Arial"/>
          <w:i/>
          <w:color w:val="4BACC6"/>
          <w:lang w:val="es-ES_tradnl" w:eastAsia="ja-JP"/>
        </w:rPr>
        <w:t xml:space="preserve">Promover el pleno ejercicio  y goce de los derechos humanos de todas las personas en el Municipio de Monterrey.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Como se ha señalado previamente, el municipio tiene la obligación de organizar su aparato institucional para asegurar el respeto, promoción y garantía de los derechos humanos.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Los derechos humanos no sólo representan restricciones al actuar del poder público, sino que además le imponen la obligación de implementar acciones y estrategias para asegurar condiciones que </w:t>
      </w:r>
      <w:proofErr w:type="gramStart"/>
      <w:r w:rsidRPr="008B2B99">
        <w:rPr>
          <w:rFonts w:ascii="Arial" w:eastAsia="MS Mincho" w:hAnsi="Arial" w:cs="Arial"/>
          <w:sz w:val="22"/>
          <w:szCs w:val="22"/>
          <w:lang w:val="es-ES_tradnl" w:eastAsia="ja-JP"/>
        </w:rPr>
        <w:t>le</w:t>
      </w:r>
      <w:proofErr w:type="gramEnd"/>
      <w:r w:rsidRPr="008B2B99">
        <w:rPr>
          <w:rFonts w:ascii="Arial" w:eastAsia="MS Mincho" w:hAnsi="Arial" w:cs="Arial"/>
          <w:sz w:val="22"/>
          <w:szCs w:val="22"/>
          <w:lang w:val="es-ES_tradnl" w:eastAsia="ja-JP"/>
        </w:rPr>
        <w:t xml:space="preserve"> permitan a todas las personas el desarrollo de una vida digna.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lastRenderedPageBreak/>
        <w:t xml:space="preserve">Desde las atribuciones y competencias municipales, esta administración buscará promover el ejercicio de los derechos humanos, mediante el diseño e implementación de políticas públicas orientadas al acceso de los servicios públicos, el acercamiento de la sociedad a los servicios de salud, vivienda, alimentación, la promoción de las actividades culturales, artísticas y deportivas, la capacitación para el trabajo, así como actividades educativas complementarias, todas ellas orientadas hacia la dignidad humana. </w:t>
      </w:r>
    </w:p>
    <w:p w:rsidR="0022687E" w:rsidRPr="0022687E" w:rsidRDefault="0022687E" w:rsidP="0022687E">
      <w:pPr>
        <w:spacing w:after="200" w:line="360" w:lineRule="auto"/>
        <w:ind w:left="708"/>
        <w:jc w:val="both"/>
        <w:rPr>
          <w:rFonts w:ascii="Arial" w:eastAsia="MS Mincho" w:hAnsi="Arial" w:cs="Arial"/>
          <w:b/>
          <w:color w:val="4BACC6"/>
          <w:sz w:val="32"/>
          <w:szCs w:val="32"/>
          <w:lang w:val="es-ES_tradnl" w:eastAsia="ja-JP"/>
        </w:rPr>
      </w:pPr>
      <w:r w:rsidRPr="0022687E">
        <w:rPr>
          <w:rFonts w:ascii="Arial" w:eastAsia="MS Mincho" w:hAnsi="Arial" w:cs="Arial"/>
          <w:b/>
          <w:color w:val="4BACC6"/>
          <w:sz w:val="32"/>
          <w:szCs w:val="32"/>
          <w:lang w:val="es-ES_tradnl" w:eastAsia="ja-JP"/>
        </w:rPr>
        <w:t>3.2.2 Inclusión social</w:t>
      </w:r>
    </w:p>
    <w:p w:rsidR="0022687E" w:rsidRPr="0022687E" w:rsidRDefault="0022687E" w:rsidP="0022687E">
      <w:pPr>
        <w:spacing w:after="200" w:line="360" w:lineRule="auto"/>
        <w:jc w:val="both"/>
        <w:rPr>
          <w:rFonts w:ascii="Arial" w:eastAsia="MS Mincho" w:hAnsi="Arial" w:cs="Arial"/>
          <w:color w:val="4BACC6"/>
          <w:lang w:val="es-ES_tradnl" w:eastAsia="ja-JP"/>
        </w:rPr>
      </w:pPr>
      <w:r w:rsidRPr="0022687E">
        <w:rPr>
          <w:rFonts w:ascii="Arial" w:eastAsia="MS Mincho" w:hAnsi="Arial" w:cs="Arial"/>
          <w:i/>
          <w:color w:val="4BACC6"/>
          <w:lang w:val="es-ES_tradnl" w:eastAsia="ja-JP"/>
        </w:rPr>
        <w:t>Desarrollar políticas públicas orientadas a atender las necesidades de personas que se encuentran en condiciones de pobreza, vulnerabilidad, riesgo de vulnerabilidad o susceptibles de discriminación, a fin de eliminar o disminuir las circunstancias que las sitúan en esa condición</w:t>
      </w:r>
      <w:r w:rsidRPr="0022687E">
        <w:rPr>
          <w:rFonts w:ascii="Arial" w:eastAsia="MS Mincho" w:hAnsi="Arial" w:cs="Arial"/>
          <w:color w:val="4BACC6"/>
          <w:lang w:val="es-ES_tradnl" w:eastAsia="ja-JP"/>
        </w:rPr>
        <w:t>.</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La desigualdad no se expresa solamente por la diversidad adquisitiva de los ingresos de las personas, sino que se deriva de la discriminación de clase, de raza, de género, de origen geográfico, de distinta capacidad física, u otra circunstancia social o particular, convirtiéndola en un fenómeno multidimensional que la hace incompatible con los ideales democráticos (OEA, 2011).</w:t>
      </w:r>
    </w:p>
    <w:p w:rsidR="0022687E" w:rsidRPr="008B2B99"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8B2B99">
        <w:rPr>
          <w:rFonts w:ascii="Arial" w:eastAsia="MS Mincho" w:hAnsi="Arial" w:cs="Arial"/>
          <w:sz w:val="22"/>
          <w:szCs w:val="22"/>
          <w:lang w:val="es-ES_tradnl"/>
        </w:rPr>
        <w:t>Los grupos vulnerables son aquellos que, ya sea por su edad, raza, sexo, condición económica, características físicas, circunstancia cultural o política, se encuentran en mayor riesgo de que sus derechos sean violentados (Pérez Contreras, María Monserrat, 2011).</w:t>
      </w:r>
      <w:bookmarkStart w:id="1" w:name="P1"/>
      <w:bookmarkEnd w:id="1"/>
      <w:r w:rsidRPr="008B2B99">
        <w:rPr>
          <w:rFonts w:ascii="Arial" w:eastAsia="MS Mincho" w:hAnsi="Arial" w:cs="Arial"/>
          <w:sz w:val="22"/>
          <w:szCs w:val="22"/>
          <w:lang w:val="es-ES_tradnl"/>
        </w:rPr>
        <w:t xml:space="preserve">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Cuando las desigualdades no son debidamente atendidas, se produce la exclusión social, marginación, segregación, violencia, delincuencia y con ello una crisis de bienestar.</w:t>
      </w:r>
    </w:p>
    <w:p w:rsidR="0022687E" w:rsidRPr="008B2B99" w:rsidRDefault="0022687E" w:rsidP="0022687E">
      <w:pPr>
        <w:spacing w:after="200" w:line="360" w:lineRule="auto"/>
        <w:jc w:val="both"/>
        <w:rPr>
          <w:rFonts w:ascii="Arial" w:hAnsi="Arial" w:cs="Arial"/>
          <w:sz w:val="22"/>
          <w:szCs w:val="22"/>
          <w:lang w:val="es-ES_tradnl"/>
        </w:rPr>
      </w:pPr>
      <w:r w:rsidRPr="008B2B99">
        <w:rPr>
          <w:rFonts w:ascii="Arial" w:eastAsia="MS Mincho" w:hAnsi="Arial" w:cs="Arial"/>
          <w:color w:val="000000"/>
          <w:sz w:val="22"/>
          <w:szCs w:val="22"/>
          <w:lang w:val="es-ES_tradnl" w:eastAsia="ja-JP"/>
        </w:rPr>
        <w:t xml:space="preserve">En aras de alcanzar una sociedad en la que todas las personas gocen y ejerzan sus derechos en condiciones de igualdad, es preciso </w:t>
      </w:r>
      <w:r w:rsidRPr="008B2B99">
        <w:rPr>
          <w:rFonts w:ascii="Arial" w:hAnsi="Arial" w:cs="Arial"/>
          <w:sz w:val="22"/>
          <w:szCs w:val="22"/>
          <w:lang w:val="es-ES_tradnl"/>
        </w:rPr>
        <w:t xml:space="preserve">tomar acciones que contribuyan a </w:t>
      </w:r>
      <w:r w:rsidRPr="008B2B99">
        <w:rPr>
          <w:rFonts w:ascii="Arial" w:hAnsi="Arial" w:cs="Arial"/>
          <w:sz w:val="22"/>
          <w:szCs w:val="22"/>
          <w:lang w:val="es-ES_tradnl"/>
        </w:rPr>
        <w:lastRenderedPageBreak/>
        <w:t xml:space="preserve">eliminar o disminuir las circunstancias que las colocan en una situación vulnerable o riesgo de vulnerabilidad y con ello sus efectos. </w:t>
      </w:r>
    </w:p>
    <w:p w:rsidR="0022687E" w:rsidRPr="008B2B99" w:rsidRDefault="0022687E" w:rsidP="0022687E">
      <w:pPr>
        <w:spacing w:after="200" w:line="360" w:lineRule="auto"/>
        <w:jc w:val="both"/>
        <w:rPr>
          <w:rFonts w:ascii="Arial" w:hAnsi="Arial" w:cs="Arial"/>
          <w:color w:val="000000"/>
          <w:sz w:val="22"/>
          <w:szCs w:val="22"/>
          <w:shd w:val="clear" w:color="auto" w:fill="FFFFFF"/>
          <w:lang w:val="es-ES_tradnl"/>
        </w:rPr>
      </w:pPr>
      <w:r w:rsidRPr="008B2B99">
        <w:rPr>
          <w:rFonts w:ascii="Arial" w:hAnsi="Arial" w:cs="Arial"/>
          <w:sz w:val="22"/>
          <w:szCs w:val="22"/>
          <w:lang w:val="es-ES_tradnl"/>
        </w:rPr>
        <w:t xml:space="preserve">Además, como parte de una estrategia integral de inclusión social, la no discriminación es un componente </w:t>
      </w:r>
      <w:r w:rsidRPr="008B2B99">
        <w:rPr>
          <w:rFonts w:ascii="Arial" w:hAnsi="Arial" w:cs="Arial"/>
          <w:i/>
          <w:sz w:val="22"/>
          <w:szCs w:val="22"/>
          <w:lang w:val="es-ES_tradnl"/>
        </w:rPr>
        <w:t>sine qua non</w:t>
      </w:r>
      <w:r w:rsidRPr="008B2B99">
        <w:rPr>
          <w:rFonts w:ascii="Arial" w:hAnsi="Arial" w:cs="Arial"/>
          <w:sz w:val="22"/>
          <w:szCs w:val="22"/>
          <w:lang w:val="es-ES_tradnl"/>
        </w:rPr>
        <w:t>, es decir, sin él no se puede lograr una sociedad incluyente. La discriminación es “</w:t>
      </w:r>
      <w:r w:rsidRPr="008B2B99">
        <w:rPr>
          <w:rFonts w:ascii="Arial" w:hAnsi="Arial" w:cs="Arial"/>
          <w:color w:val="000000"/>
          <w:sz w:val="22"/>
          <w:szCs w:val="22"/>
          <w:shd w:val="clear" w:color="auto" w:fill="FFFFFF"/>
          <w:lang w:val="es-ES_tradnl"/>
        </w:rPr>
        <w:t>un problema estructural que agudiza los desequilibrios sociales y dificulta la efectiva transición a una sociedad democrática, justa y efectivamente participativa (Araiza, Carlos, 2005)”.</w:t>
      </w:r>
    </w:p>
    <w:p w:rsidR="0022687E" w:rsidRPr="008B2B99" w:rsidRDefault="0022687E" w:rsidP="0022687E">
      <w:pPr>
        <w:spacing w:after="200" w:line="360" w:lineRule="auto"/>
        <w:jc w:val="both"/>
        <w:rPr>
          <w:rFonts w:ascii="Arial" w:hAnsi="Arial" w:cs="Arial"/>
          <w:color w:val="000000"/>
          <w:sz w:val="22"/>
          <w:szCs w:val="22"/>
          <w:shd w:val="clear" w:color="auto" w:fill="FFFFFF"/>
          <w:lang w:val="es-ES_tradnl"/>
        </w:rPr>
      </w:pPr>
      <w:r w:rsidRPr="008B2B99">
        <w:rPr>
          <w:rFonts w:ascii="Arial" w:hAnsi="Arial" w:cs="Arial"/>
          <w:color w:val="000000"/>
          <w:sz w:val="22"/>
          <w:szCs w:val="22"/>
          <w:shd w:val="clear" w:color="auto" w:fill="FFFFFF"/>
          <w:lang w:val="es-ES_tradnl"/>
        </w:rPr>
        <w:t xml:space="preserve">Es así que el combate a la discriminación se convierte en una problemática prioritaria en la agenda pública gubernamental, no solo por ser injusta, sino por sus efectos negativos en aras de la construcción de una sociedad incluyente y participativa. </w:t>
      </w:r>
    </w:p>
    <w:p w:rsidR="0022687E" w:rsidRPr="0022687E" w:rsidRDefault="0022687E" w:rsidP="0022687E">
      <w:pPr>
        <w:widowControl w:val="0"/>
        <w:numPr>
          <w:ilvl w:val="1"/>
          <w:numId w:val="42"/>
        </w:numPr>
        <w:autoSpaceDE w:val="0"/>
        <w:autoSpaceDN w:val="0"/>
        <w:adjustRightInd w:val="0"/>
        <w:spacing w:after="240" w:line="360" w:lineRule="auto"/>
        <w:ind w:hanging="294"/>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t>Proyectos estratégicos</w:t>
      </w:r>
    </w:p>
    <w:p w:rsidR="0022687E" w:rsidRPr="0022687E" w:rsidRDefault="0022687E" w:rsidP="00375AB0">
      <w:pPr>
        <w:widowControl w:val="0"/>
        <w:autoSpaceDE w:val="0"/>
        <w:autoSpaceDN w:val="0"/>
        <w:adjustRightInd w:val="0"/>
        <w:spacing w:after="240" w:line="360" w:lineRule="auto"/>
        <w:jc w:val="both"/>
        <w:rPr>
          <w:rFonts w:ascii="Arial" w:eastAsia="MS Mincho" w:hAnsi="Arial" w:cs="Arial"/>
          <w:b/>
          <w:color w:val="4BACC6"/>
          <w:sz w:val="32"/>
          <w:szCs w:val="32"/>
          <w:lang w:eastAsia="ja-JP"/>
        </w:rPr>
      </w:pPr>
      <w:r w:rsidRPr="008B2B99">
        <w:rPr>
          <w:rFonts w:ascii="Arial" w:eastAsia="MS Mincho" w:hAnsi="Arial" w:cs="Arial"/>
          <w:sz w:val="22"/>
          <w:szCs w:val="22"/>
          <w:lang w:eastAsia="ja-JP"/>
        </w:rPr>
        <w:t xml:space="preserve">A partir de los objetivos estratégicos descritos en el eje de derechos humanos e inclusión social, se desarrollan los proyectos que sirven para contribuir al alcance de aquéllos y que establecen las bases para el desarrollo de las actividades de la administración pública municipal durante el periodo 2015-2018. </w:t>
      </w:r>
      <w:r w:rsidRPr="008B2B99">
        <w:rPr>
          <w:rFonts w:ascii="Arial" w:eastAsia="MS Mincho" w:hAnsi="Arial" w:cs="Arial"/>
          <w:sz w:val="22"/>
          <w:szCs w:val="22"/>
          <w:vertAlign w:val="superscript"/>
          <w:lang w:eastAsia="ja-JP"/>
        </w:rPr>
        <w:footnoteReference w:id="9"/>
      </w:r>
      <w:r w:rsidRPr="0022687E">
        <w:rPr>
          <w:rFonts w:ascii="Arial" w:eastAsia="MS Mincho" w:hAnsi="Arial" w:cs="Arial"/>
          <w:lang w:eastAsia="ja-JP"/>
        </w:rPr>
        <w:t xml:space="preserve"> </w:t>
      </w:r>
      <w:r w:rsidRPr="0022687E">
        <w:rPr>
          <w:rFonts w:ascii="Arial" w:eastAsia="MS Mincho" w:hAnsi="Arial" w:cs="Arial"/>
          <w:b/>
          <w:noProof/>
          <w:color w:val="4BACC6"/>
          <w:sz w:val="32"/>
          <w:szCs w:val="32"/>
          <w:lang w:val="es-MX" w:eastAsia="es-MX"/>
        </w:rPr>
        <w:lastRenderedPageBreak/>
        <w:drawing>
          <wp:inline distT="0" distB="0" distL="0" distR="0" wp14:anchorId="0C374287" wp14:editId="3EFFDB7B">
            <wp:extent cx="6372225" cy="7172324"/>
            <wp:effectExtent l="0" t="0" r="0" b="0"/>
            <wp:docPr id="1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84585" cy="7186236"/>
                    </a:xfrm>
                    <a:prstGeom prst="rect">
                      <a:avLst/>
                    </a:prstGeom>
                    <a:noFill/>
                    <a:ln>
                      <a:noFill/>
                    </a:ln>
                  </pic:spPr>
                </pic:pic>
              </a:graphicData>
            </a:graphic>
          </wp:inline>
        </w:drawing>
      </w:r>
    </w:p>
    <w:p w:rsidR="0022687E" w:rsidRPr="0022687E" w:rsidRDefault="0022687E" w:rsidP="0022687E">
      <w:pPr>
        <w:widowControl w:val="0"/>
        <w:autoSpaceDE w:val="0"/>
        <w:autoSpaceDN w:val="0"/>
        <w:adjustRightInd w:val="0"/>
        <w:spacing w:after="240" w:line="360" w:lineRule="auto"/>
        <w:ind w:left="720" w:hanging="1287"/>
        <w:contextualSpacing/>
        <w:jc w:val="both"/>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lastRenderedPageBreak/>
        <w:drawing>
          <wp:inline distT="0" distB="0" distL="0" distR="0" wp14:anchorId="7CDAE4BC" wp14:editId="7485F110">
            <wp:extent cx="6530975" cy="6690995"/>
            <wp:effectExtent l="0" t="0" r="0" b="0"/>
            <wp:docPr id="1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31413" cy="6691444"/>
                    </a:xfrm>
                    <a:prstGeom prst="rect">
                      <a:avLst/>
                    </a:prstGeom>
                    <a:noFill/>
                    <a:ln>
                      <a:noFill/>
                    </a:ln>
                  </pic:spPr>
                </pic:pic>
              </a:graphicData>
            </a:graphic>
          </wp:inline>
        </w:drawing>
      </w:r>
    </w:p>
    <w:p w:rsidR="0022687E" w:rsidRPr="0022687E" w:rsidRDefault="0022687E" w:rsidP="0022687E">
      <w:pPr>
        <w:widowControl w:val="0"/>
        <w:numPr>
          <w:ilvl w:val="1"/>
          <w:numId w:val="42"/>
        </w:numPr>
        <w:autoSpaceDE w:val="0"/>
        <w:autoSpaceDN w:val="0"/>
        <w:adjustRightInd w:val="0"/>
        <w:spacing w:after="240" w:line="360" w:lineRule="auto"/>
        <w:ind w:hanging="294"/>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lastRenderedPageBreak/>
        <w:t>Metas e Indicadores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derechos humanos e inclusión social y los indicadores que permitirán evaluar el alcance de las mismas.</w:t>
      </w:r>
    </w:p>
    <w:p w:rsidR="0022687E" w:rsidRPr="0022687E" w:rsidRDefault="0022687E" w:rsidP="0022687E">
      <w:pPr>
        <w:widowControl w:val="0"/>
        <w:autoSpaceDE w:val="0"/>
        <w:autoSpaceDN w:val="0"/>
        <w:adjustRightInd w:val="0"/>
        <w:spacing w:after="240" w:line="360" w:lineRule="auto"/>
        <w:ind w:hanging="567"/>
        <w:jc w:val="both"/>
        <w:rPr>
          <w:rFonts w:ascii="Arial" w:eastAsia="MS Mincho" w:hAnsi="Arial" w:cs="Arial"/>
          <w:lang w:eastAsia="ja-JP"/>
        </w:rPr>
      </w:pPr>
      <w:r w:rsidRPr="0022687E">
        <w:rPr>
          <w:rFonts w:ascii="Arial" w:eastAsia="MS Mincho" w:hAnsi="Arial" w:cs="Arial"/>
          <w:noProof/>
          <w:lang w:val="es-MX" w:eastAsia="es-MX"/>
        </w:rPr>
        <w:lastRenderedPageBreak/>
        <w:drawing>
          <wp:inline distT="0" distB="0" distL="0" distR="0" wp14:anchorId="1813A348" wp14:editId="446BBC6D">
            <wp:extent cx="5581728" cy="7248525"/>
            <wp:effectExtent l="0" t="0" r="0" b="0"/>
            <wp:docPr id="1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4615" cy="7252274"/>
                    </a:xfrm>
                    <a:prstGeom prst="rect">
                      <a:avLst/>
                    </a:prstGeom>
                    <a:noFill/>
                    <a:ln>
                      <a:noFill/>
                    </a:ln>
                  </pic:spPr>
                </pic:pic>
              </a:graphicData>
            </a:graphic>
          </wp:inline>
        </w:drawing>
      </w:r>
    </w:p>
    <w:p w:rsidR="0022687E" w:rsidRPr="0022687E" w:rsidRDefault="0022687E" w:rsidP="0022687E">
      <w:pPr>
        <w:spacing w:after="200"/>
        <w:rPr>
          <w:rFonts w:ascii="Arial" w:eastAsia="MS Mincho" w:hAnsi="Arial" w:cs="Arial"/>
          <w:b/>
          <w:color w:val="365F91"/>
          <w:sz w:val="40"/>
          <w:szCs w:val="40"/>
          <w:lang w:val="es-ES_tradnl" w:eastAsia="ja-JP"/>
        </w:rPr>
      </w:pPr>
      <w:r w:rsidRPr="0022687E">
        <w:rPr>
          <w:rFonts w:ascii="Arial" w:eastAsia="MS Mincho" w:hAnsi="Arial" w:cs="Arial"/>
          <w:b/>
          <w:color w:val="365F91"/>
          <w:sz w:val="72"/>
          <w:szCs w:val="72"/>
          <w:lang w:val="es-ES_tradnl" w:eastAsia="ja-JP"/>
        </w:rPr>
        <w:lastRenderedPageBreak/>
        <w:t>4</w:t>
      </w:r>
      <w:r w:rsidRPr="0022687E">
        <w:rPr>
          <w:rFonts w:ascii="Arial" w:eastAsia="MS Mincho" w:hAnsi="Arial" w:cs="Arial"/>
          <w:b/>
          <w:color w:val="365F91"/>
          <w:sz w:val="56"/>
          <w:szCs w:val="56"/>
          <w:lang w:val="es-ES_tradnl" w:eastAsia="ja-JP"/>
        </w:rPr>
        <w:t xml:space="preserve"> </w:t>
      </w:r>
      <w:r w:rsidRPr="0022687E">
        <w:rPr>
          <w:rFonts w:ascii="Arial" w:eastAsia="MS Mincho" w:hAnsi="Arial" w:cs="Arial"/>
          <w:b/>
          <w:color w:val="365F91"/>
          <w:sz w:val="40"/>
          <w:szCs w:val="40"/>
          <w:lang w:val="es-ES_tradnl" w:eastAsia="ja-JP"/>
        </w:rPr>
        <w:t>Seguridad Integral</w:t>
      </w:r>
    </w:p>
    <w:p w:rsidR="0022687E" w:rsidRPr="008B2B99" w:rsidRDefault="0022687E" w:rsidP="0022687E">
      <w:pPr>
        <w:spacing w:after="200" w:line="360" w:lineRule="auto"/>
        <w:jc w:val="both"/>
        <w:rPr>
          <w:rFonts w:ascii="Arial" w:hAnsi="Arial" w:cs="Arial"/>
          <w:sz w:val="22"/>
          <w:szCs w:val="22"/>
          <w:lang w:val="es-ES_tradnl"/>
        </w:rPr>
      </w:pPr>
      <w:r w:rsidRPr="008B2B99">
        <w:rPr>
          <w:rFonts w:ascii="Arial" w:hAnsi="Arial" w:cs="Arial"/>
          <w:color w:val="000000"/>
          <w:sz w:val="22"/>
          <w:szCs w:val="22"/>
          <w:lang w:val="es-ES_tradnl"/>
        </w:rPr>
        <w:t>Existe una necesidad impostergable de adoptar medidas y políticas públicas eficaces que garanticen la seguridad de la población y el respeto a los derechos humanos.</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color w:val="000000"/>
          <w:sz w:val="22"/>
          <w:szCs w:val="22"/>
          <w:lang w:val="es-ES_tradnl"/>
        </w:rPr>
        <w:t>La comisión de delitos es solamente una de las tantas formas de violencia que en la actualidad afectan a las personas que viven en el Municipio de Monterrey, lo que obliga a una aproximación integral de la problemática en estudio, de la que se deriven acciones de prevención y control de diferente naturaleza, y que involucren, en su ejecución, también a diferentes actores del sector público y de la sociedad civil (CIDH, 2009).</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La seguridad ciudadana no se consigue sólo con el aumento de elementos y su equipamiento, se requiere además información útil que permita hacer uso eficiente y estratégico de los recursos disponibles para obtener una adecuada vigilancia y capacidad de respuesta consecuentes con las necesidades propias del municipio.</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color w:val="000000"/>
          <w:sz w:val="22"/>
          <w:szCs w:val="22"/>
          <w:lang w:val="es-ES_tradnl"/>
        </w:rPr>
        <w:t>La administración municipal es responsable ante la ciudadanía por la implementación de planes y programas eficaces para la prevención del delito y la violencia, a partir de una estrategia holística, desde el sistema de control policial, hasta las medidas de prevención social, comunitaria o situacional que deben ejecutar las entidades del sector educación, salud o trabajo, entre otros (CIDH, 2009).</w:t>
      </w:r>
    </w:p>
    <w:p w:rsidR="00375AB0" w:rsidRPr="0022687E" w:rsidRDefault="00375AB0" w:rsidP="0022687E">
      <w:pPr>
        <w:spacing w:after="200" w:line="360" w:lineRule="auto"/>
        <w:jc w:val="both"/>
        <w:rPr>
          <w:rFonts w:ascii="Arial" w:eastAsia="MS Mincho" w:hAnsi="Arial" w:cs="Arial"/>
          <w:lang w:val="es-ES_tradnl" w:eastAsia="ja-JP"/>
        </w:rPr>
      </w:pPr>
    </w:p>
    <w:p w:rsidR="0022687E" w:rsidRPr="0022687E" w:rsidRDefault="0022687E" w:rsidP="0022687E">
      <w:pPr>
        <w:widowControl w:val="0"/>
        <w:numPr>
          <w:ilvl w:val="1"/>
          <w:numId w:val="37"/>
        </w:numPr>
        <w:autoSpaceDE w:val="0"/>
        <w:autoSpaceDN w:val="0"/>
        <w:adjustRightInd w:val="0"/>
        <w:spacing w:after="240" w:line="360" w:lineRule="auto"/>
        <w:contextualSpacing/>
        <w:jc w:val="both"/>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Aportaciones ciudadanas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de la población respecto a las soluciones y alternativas del Municipio para contribuir a la seguridad ciudadana. </w:t>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noProof/>
          <w:lang w:val="es-MX" w:eastAsia="es-MX"/>
        </w:rPr>
        <w:lastRenderedPageBreak/>
        <w:drawing>
          <wp:inline distT="0" distB="0" distL="0" distR="0" wp14:anchorId="3F2F2F33" wp14:editId="10327E7D">
            <wp:extent cx="5396230" cy="2459859"/>
            <wp:effectExtent l="0" t="0" r="0" b="4445"/>
            <wp:docPr id="2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6230" cy="2459859"/>
                    </a:xfrm>
                    <a:prstGeom prst="rect">
                      <a:avLst/>
                    </a:prstGeom>
                    <a:noFill/>
                    <a:ln>
                      <a:noFill/>
                    </a:ln>
                  </pic:spPr>
                </pic:pic>
              </a:graphicData>
            </a:graphic>
          </wp:inline>
        </w:drawing>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Además, dentro de las aportaciones realizadas por los ponentes y los asistentes al foro, se señalan </w:t>
      </w:r>
      <w:proofErr w:type="gramStart"/>
      <w:r w:rsidRPr="008B2B99">
        <w:rPr>
          <w:rFonts w:ascii="Arial" w:eastAsia="MS Mincho" w:hAnsi="Arial" w:cs="Arial"/>
          <w:sz w:val="22"/>
          <w:szCs w:val="22"/>
          <w:lang w:val="es-ES_tradnl" w:eastAsia="ja-JP"/>
        </w:rPr>
        <w:t>las siguiente</w:t>
      </w:r>
      <w:proofErr w:type="gramEnd"/>
      <w:r w:rsidRPr="008B2B99">
        <w:rPr>
          <w:rFonts w:ascii="Arial" w:eastAsia="MS Mincho" w:hAnsi="Arial" w:cs="Arial"/>
          <w:sz w:val="22"/>
          <w:szCs w:val="22"/>
          <w:lang w:val="es-ES_tradnl" w:eastAsia="ja-JP"/>
        </w:rPr>
        <w:t xml:space="preserve">: </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Profesionalizar a los elementos de la policía y tránsito para asegurar la adecuada atención y el respeto a los derechos humanos. </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La coordinación con la sociedad y las organizaciones de la sociedad civil como estrategia fundamental en la prevención del delito. </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Impulsar la creación o el fortalecimiento de las unidades de análisis de la información en el orden municipal.</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Ser la unidad que aporte los insumos para la toma de decisiones en otras políticas públicas como la </w:t>
      </w:r>
      <w:r w:rsidRPr="008B2B99">
        <w:rPr>
          <w:rFonts w:ascii="Arial" w:eastAsia="MS Mincho" w:hAnsi="Arial" w:cs="Arial"/>
          <w:bCs/>
          <w:sz w:val="22"/>
          <w:szCs w:val="22"/>
          <w:lang w:val="es-MX" w:eastAsia="ja-JP"/>
        </w:rPr>
        <w:t>prevención del delito</w:t>
      </w:r>
      <w:r w:rsidRPr="008B2B99">
        <w:rPr>
          <w:rFonts w:ascii="Arial" w:eastAsia="MS Mincho" w:hAnsi="Arial" w:cs="Arial"/>
          <w:sz w:val="22"/>
          <w:szCs w:val="22"/>
          <w:lang w:val="es-MX" w:eastAsia="ja-JP"/>
        </w:rPr>
        <w:t>.</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Asumir el </w:t>
      </w:r>
      <w:r w:rsidRPr="008B2B99">
        <w:rPr>
          <w:rFonts w:ascii="Arial" w:eastAsia="MS Mincho" w:hAnsi="Arial" w:cs="Arial"/>
          <w:bCs/>
          <w:sz w:val="22"/>
          <w:szCs w:val="22"/>
          <w:lang w:val="es-MX" w:eastAsia="ja-JP"/>
        </w:rPr>
        <w:t>liderazgo</w:t>
      </w:r>
      <w:r w:rsidRPr="008B2B99">
        <w:rPr>
          <w:rFonts w:ascii="Arial" w:eastAsia="MS Mincho" w:hAnsi="Arial" w:cs="Arial"/>
          <w:sz w:val="22"/>
          <w:szCs w:val="22"/>
          <w:lang w:val="es-MX" w:eastAsia="ja-JP"/>
        </w:rPr>
        <w:t xml:space="preserve"> de la estandarización de modelos para la recolección, tratamiento y análisis de la información entre los municipios de la zona metropolitana en coordinación con el Gobierno del Estado.</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Impulsar una </w:t>
      </w:r>
      <w:r w:rsidRPr="008B2B99">
        <w:rPr>
          <w:rFonts w:ascii="Arial" w:eastAsia="MS Mincho" w:hAnsi="Arial" w:cs="Arial"/>
          <w:bCs/>
          <w:sz w:val="22"/>
          <w:szCs w:val="22"/>
          <w:lang w:val="es-MX" w:eastAsia="ja-JP"/>
        </w:rPr>
        <w:t>red</w:t>
      </w:r>
      <w:r w:rsidRPr="008B2B99">
        <w:rPr>
          <w:rFonts w:ascii="Arial" w:eastAsia="MS Mincho" w:hAnsi="Arial" w:cs="Arial"/>
          <w:sz w:val="22"/>
          <w:szCs w:val="22"/>
          <w:lang w:val="es-MX" w:eastAsia="ja-JP"/>
        </w:rPr>
        <w:t xml:space="preserve"> de rápida y flexible respuesta para el intercambio de información.</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lastRenderedPageBreak/>
        <w:t xml:space="preserve">Asumir el </w:t>
      </w:r>
      <w:r w:rsidRPr="008B2B99">
        <w:rPr>
          <w:rFonts w:ascii="Arial" w:eastAsia="MS Mincho" w:hAnsi="Arial" w:cs="Arial"/>
          <w:bCs/>
          <w:sz w:val="22"/>
          <w:szCs w:val="22"/>
          <w:lang w:val="es-MX" w:eastAsia="ja-JP"/>
        </w:rPr>
        <w:t>liderazgo</w:t>
      </w:r>
      <w:r w:rsidRPr="008B2B99">
        <w:rPr>
          <w:rFonts w:ascii="Arial" w:eastAsia="MS Mincho" w:hAnsi="Arial" w:cs="Arial"/>
          <w:sz w:val="22"/>
          <w:szCs w:val="22"/>
          <w:lang w:val="es-MX" w:eastAsia="ja-JP"/>
        </w:rPr>
        <w:t xml:space="preserve"> ante la Conferencia Nacional de Secretarios de Seguridad Pública para impulsar el tema de las unidades de análisis como una de las políticas públicas de prioridad nacional.</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widowControl w:val="0"/>
        <w:numPr>
          <w:ilvl w:val="1"/>
          <w:numId w:val="37"/>
        </w:numPr>
        <w:autoSpaceDE w:val="0"/>
        <w:autoSpaceDN w:val="0"/>
        <w:adjustRightInd w:val="0"/>
        <w:spacing w:after="240" w:line="360" w:lineRule="auto"/>
        <w:contextualSpacing/>
        <w:jc w:val="both"/>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Objetivos estratégicos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Derivado de lo anterior y tomando en consideración las múltiples aristas que presenta el eje de seguridad integral, se definieron los siguientes objetivos estratégicos que servirán de base para el diseño e implementación de políticas públicas dirigidas hacia la seguridad de las personas en el Municipio. </w:t>
      </w:r>
    </w:p>
    <w:p w:rsidR="0022687E" w:rsidRPr="0022687E" w:rsidRDefault="0022687E" w:rsidP="0022687E">
      <w:pPr>
        <w:spacing w:after="200" w:line="360" w:lineRule="auto"/>
        <w:jc w:val="center"/>
        <w:rPr>
          <w:rFonts w:ascii="Arial" w:eastAsia="MS Mincho" w:hAnsi="Arial" w:cs="Arial"/>
          <w:b/>
          <w:lang w:val="es-ES_tradnl" w:eastAsia="ja-JP"/>
        </w:rPr>
      </w:pPr>
      <w:r w:rsidRPr="0022687E">
        <w:rPr>
          <w:rFonts w:ascii="Arial" w:eastAsia="MS Mincho" w:hAnsi="Arial" w:cs="Arial"/>
          <w:b/>
          <w:noProof/>
          <w:lang w:val="es-MX" w:eastAsia="es-MX"/>
        </w:rPr>
        <w:drawing>
          <wp:inline distT="0" distB="0" distL="0" distR="0" wp14:anchorId="01B8ED77" wp14:editId="2E7A8D67">
            <wp:extent cx="4639522" cy="2262928"/>
            <wp:effectExtent l="0" t="19050" r="0" b="42545"/>
            <wp:docPr id="201" name="Diagrama 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22687E" w:rsidRPr="0022687E" w:rsidRDefault="0022687E" w:rsidP="0022687E">
      <w:pPr>
        <w:spacing w:after="200"/>
        <w:ind w:left="708"/>
        <w:rPr>
          <w:rFonts w:ascii="Arial" w:eastAsia="MS Mincho" w:hAnsi="Arial" w:cs="Arial"/>
          <w:b/>
          <w:color w:val="365F91"/>
          <w:sz w:val="32"/>
          <w:szCs w:val="32"/>
          <w:lang w:val="es-ES_tradnl" w:eastAsia="ja-JP"/>
        </w:rPr>
      </w:pPr>
      <w:r w:rsidRPr="0022687E">
        <w:rPr>
          <w:rFonts w:ascii="Arial" w:eastAsia="MS Mincho" w:hAnsi="Arial" w:cs="Arial"/>
          <w:b/>
          <w:color w:val="365F91"/>
          <w:sz w:val="32"/>
          <w:szCs w:val="32"/>
          <w:lang w:val="es-ES_tradnl" w:eastAsia="ja-JP"/>
        </w:rPr>
        <w:t>4.2.1. Prevención del delito</w:t>
      </w:r>
    </w:p>
    <w:p w:rsidR="0022687E" w:rsidRPr="0022687E" w:rsidRDefault="0022687E" w:rsidP="0022687E">
      <w:pPr>
        <w:spacing w:line="360" w:lineRule="auto"/>
        <w:jc w:val="both"/>
        <w:rPr>
          <w:rFonts w:ascii="Arial" w:eastAsia="MS Mincho" w:hAnsi="Arial" w:cs="Arial"/>
          <w:i/>
          <w:color w:val="4F81BD"/>
          <w:lang w:val="es-ES_tradnl" w:eastAsia="ja-JP"/>
        </w:rPr>
      </w:pPr>
      <w:r w:rsidRPr="0022687E">
        <w:rPr>
          <w:rFonts w:ascii="Arial" w:eastAsia="MS Mincho" w:hAnsi="Arial" w:cs="Arial"/>
          <w:i/>
          <w:color w:val="4F81BD"/>
          <w:lang w:val="es-ES_tradnl" w:eastAsia="ja-JP"/>
        </w:rPr>
        <w:t xml:space="preserve">Disminuir la aparición y el desarrollo de los factores causales de la violencia y la delincuencia en el municipio, a través de una vinculación entre gobierno y comunidad. </w:t>
      </w:r>
    </w:p>
    <w:p w:rsidR="0022687E" w:rsidRPr="0022687E" w:rsidRDefault="0022687E" w:rsidP="0022687E">
      <w:pPr>
        <w:spacing w:line="360" w:lineRule="auto"/>
        <w:jc w:val="both"/>
        <w:rPr>
          <w:rFonts w:ascii="Arial" w:eastAsia="MS Mincho" w:hAnsi="Arial" w:cs="Arial"/>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lastRenderedPageBreak/>
        <w:t xml:space="preserve">Un verdadero enfoque de seguridad integral, no puede partir de un enfoque reactivo, sino proactivo y preventivo. En este sentido, la prevención del delito constituirá uno de los pilares de la seguridad en las acciones municipales. </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Sin embargo, es fundamental que la prevención se desarrolle de una forma profesional. Por ello, todas las acciones municipales que se ejecuten en este rubro se harán a través de políticas públicas con una visión holística, integral y sistémica, comprendiendo ámbitos individuales, familiares, socioeconómicos, políticos, culturales y situacionales.</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En este sentido, se seguirá un modelo de prevención del delito multidimensional que englobe la prevención social, la prevención comunitaria y la prevención situacional (ONU, </w:t>
      </w:r>
      <w:proofErr w:type="spellStart"/>
      <w:r w:rsidRPr="008B2B99">
        <w:rPr>
          <w:rFonts w:ascii="Arial" w:eastAsia="MS Mincho" w:hAnsi="Arial" w:cs="Arial"/>
          <w:sz w:val="22"/>
          <w:szCs w:val="22"/>
          <w:lang w:val="es-ES_tradnl" w:eastAsia="ja-JP"/>
        </w:rPr>
        <w:t>s.f</w:t>
      </w:r>
      <w:proofErr w:type="spellEnd"/>
      <w:r w:rsidRPr="008B2B99">
        <w:rPr>
          <w:rFonts w:ascii="Arial" w:eastAsia="MS Mincho" w:hAnsi="Arial" w:cs="Arial"/>
          <w:sz w:val="22"/>
          <w:szCs w:val="22"/>
          <w:lang w:val="es-ES_tradnl" w:eastAsia="ja-JP"/>
        </w:rPr>
        <w:t>). Estos tres tipos de prevención son igual de importantes, y se llevarán a cabo de forma conjunta y dinámica, pues solamente así y con la participación proactiva de la sociedad, se producirá una prevención efectiva.</w:t>
      </w:r>
    </w:p>
    <w:p w:rsidR="0022687E" w:rsidRPr="0022687E" w:rsidRDefault="0022687E" w:rsidP="0022687E">
      <w:pPr>
        <w:spacing w:after="200"/>
        <w:rPr>
          <w:rFonts w:ascii="Arial" w:eastAsia="MS Mincho" w:hAnsi="Arial" w:cs="Arial"/>
          <w:b/>
          <w:color w:val="4F81BD"/>
          <w:lang w:val="es-ES_tradnl" w:eastAsia="ja-JP"/>
        </w:rPr>
      </w:pPr>
    </w:p>
    <w:p w:rsidR="0022687E" w:rsidRPr="0022687E" w:rsidRDefault="0022687E" w:rsidP="0022687E">
      <w:pPr>
        <w:spacing w:after="200"/>
        <w:ind w:left="708"/>
        <w:rPr>
          <w:rFonts w:ascii="Arial" w:eastAsia="MS Mincho" w:hAnsi="Arial" w:cs="Arial"/>
          <w:b/>
          <w:color w:val="365F91"/>
          <w:sz w:val="32"/>
          <w:szCs w:val="32"/>
          <w:lang w:val="es-ES_tradnl" w:eastAsia="ja-JP"/>
        </w:rPr>
      </w:pPr>
      <w:r w:rsidRPr="0022687E">
        <w:rPr>
          <w:rFonts w:ascii="Arial" w:eastAsia="MS Mincho" w:hAnsi="Arial" w:cs="Arial"/>
          <w:b/>
          <w:color w:val="365F91"/>
          <w:sz w:val="32"/>
          <w:szCs w:val="32"/>
          <w:lang w:val="es-ES_tradnl" w:eastAsia="ja-JP"/>
        </w:rPr>
        <w:t>4.2.2. Policía cercana</w:t>
      </w:r>
    </w:p>
    <w:p w:rsidR="0022687E" w:rsidRPr="0022687E" w:rsidRDefault="0022687E" w:rsidP="0022687E">
      <w:pPr>
        <w:spacing w:after="200" w:line="360" w:lineRule="auto"/>
        <w:jc w:val="both"/>
        <w:rPr>
          <w:rFonts w:ascii="Arial" w:eastAsia="MS Mincho" w:hAnsi="Arial" w:cs="Arial"/>
          <w:i/>
          <w:color w:val="000000"/>
          <w:lang w:val="es-ES_tradnl" w:eastAsia="ja-JP"/>
        </w:rPr>
      </w:pPr>
      <w:r w:rsidRPr="0022687E">
        <w:rPr>
          <w:rFonts w:ascii="Arial" w:eastAsia="MS Mincho" w:hAnsi="Arial" w:cs="Arial"/>
          <w:i/>
          <w:color w:val="4F81BD"/>
          <w:lang w:val="es-ES_tradnl" w:eastAsia="ja-JP"/>
        </w:rPr>
        <w:t>Crear una institución policial profesionalizada, responsable y transparente, con presencia en zonas estratégicas del municipio, orientada a atender los delitos más comunes y las faltas administrativas, que mantenga una constante comunicación con la comunidad, así como una coordinación adecuada con todas las instituciones de seguridad pública y de procuración de justicia</w:t>
      </w:r>
      <w:r w:rsidRPr="0022687E">
        <w:rPr>
          <w:rFonts w:ascii="Arial" w:eastAsia="MS Mincho" w:hAnsi="Arial" w:cs="Arial"/>
          <w:i/>
          <w:color w:val="000000"/>
          <w:lang w:val="es-ES_tradnl" w:eastAsia="ja-JP"/>
        </w:rPr>
        <w:t xml:space="preserve">.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La reforma de la Policía Regia es una tarea inaplazable. Es fundamental que el cambio sea de fondo, es decir, una reforma institucional que busque resolver los principales problemas que aquejan a la policía municipal y que constituyen un obstáculo para que ésta preste un servicio público de calidad a la altura de una capital como Monterrey.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En este orden de ideas, la reforma de la policía tendrá como objetivo contar con elementos que tengan las competencias necesarias para cumplir con sus funciones </w:t>
      </w:r>
      <w:r w:rsidRPr="008B2B99">
        <w:rPr>
          <w:rFonts w:ascii="Arial" w:eastAsia="MS Mincho" w:hAnsi="Arial" w:cs="Arial"/>
          <w:color w:val="000000"/>
          <w:sz w:val="22"/>
          <w:szCs w:val="22"/>
          <w:lang w:val="es-ES_tradnl" w:eastAsia="ja-JP"/>
        </w:rPr>
        <w:lastRenderedPageBreak/>
        <w:t>organizadas conforme a un servicio de carrera que garantice los principios de capacidad y méritos. Asimismo, la institución policial deberá adoptar una filosofía de trabajo que gire en torno a la transparencia, la rendición de cuentas y de apertura a las demandas de la comunidad.</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En cuanto al enfoque operativo, la transformación de la policía de Monterrey privilegiará un despliegue territorial estratégico conforme a la generación de inteligencia. Asimismo, su función estará orientada a atender los principales delitos comunes, asegurándose de cumplir con las reglas y estándares del Sistema Penal Acusatorio, con el objetivo de que se respeten los derechos de las víctimas e imputados y que se cumplan con el debido proceso.  Finalmente, la policía deberá ser la principal autoridad encargada de velar por el respeto de los reglamentos municipales que garantizan una adecuada convivencia en la comunidad como el Reglamento de Policía y Buen Gobierno y de intervenir en los casos del incumplimiento de los mismos que deriven en faltas administrativas. </w:t>
      </w:r>
    </w:p>
    <w:p w:rsidR="0022687E" w:rsidRPr="0022687E" w:rsidRDefault="0022687E" w:rsidP="0022687E">
      <w:pPr>
        <w:spacing w:after="200"/>
        <w:ind w:left="708"/>
        <w:rPr>
          <w:rFonts w:ascii="Arial" w:eastAsia="MS Mincho" w:hAnsi="Arial" w:cs="Arial"/>
          <w:b/>
          <w:color w:val="1F497D"/>
          <w:sz w:val="32"/>
          <w:szCs w:val="32"/>
          <w:lang w:val="es-ES_tradnl" w:eastAsia="ja-JP"/>
        </w:rPr>
      </w:pPr>
      <w:r w:rsidRPr="0022687E">
        <w:rPr>
          <w:rFonts w:ascii="Arial" w:eastAsia="MS Mincho" w:hAnsi="Arial" w:cs="Arial"/>
          <w:b/>
          <w:color w:val="1F497D"/>
          <w:sz w:val="32"/>
          <w:szCs w:val="32"/>
          <w:lang w:val="es-ES_tradnl" w:eastAsia="ja-JP"/>
        </w:rPr>
        <w:t>4.2.3. Generación de inteligencia</w:t>
      </w:r>
    </w:p>
    <w:p w:rsidR="0022687E" w:rsidRPr="0022687E" w:rsidRDefault="0022687E" w:rsidP="0022687E">
      <w:pPr>
        <w:spacing w:line="360" w:lineRule="auto"/>
        <w:jc w:val="both"/>
        <w:rPr>
          <w:rFonts w:ascii="Arial" w:eastAsia="MS Mincho" w:hAnsi="Arial" w:cs="Arial"/>
          <w:i/>
          <w:color w:val="4F81BD"/>
          <w:lang w:val="es-ES_tradnl" w:eastAsia="ja-JP"/>
        </w:rPr>
      </w:pPr>
      <w:r w:rsidRPr="0022687E">
        <w:rPr>
          <w:rFonts w:ascii="Arial" w:eastAsia="MS Mincho" w:hAnsi="Arial" w:cs="Arial"/>
          <w:i/>
          <w:color w:val="4F81BD"/>
          <w:lang w:val="es-ES_tradnl" w:eastAsia="ja-JP"/>
        </w:rPr>
        <w:t>Implementar mecanismos que faciliten el análisis de información orientada a generar estrategias y líneas de acción en materia de seguridad integral.</w:t>
      </w:r>
    </w:p>
    <w:p w:rsidR="0022687E" w:rsidRPr="0022687E" w:rsidRDefault="0022687E" w:rsidP="0022687E">
      <w:pPr>
        <w:spacing w:line="360" w:lineRule="auto"/>
        <w:jc w:val="both"/>
        <w:rPr>
          <w:rFonts w:ascii="Arial" w:eastAsia="MS Mincho" w:hAnsi="Arial" w:cs="Arial"/>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En materia de seguridad, la inteligencia coadyuva en el análisis de las problemáticas delictivas a través de estudios criminógenos, espaciales y estadísticos (Torres, Pedro y Santiago, Oscar, 2015), generando así, políticas públicas en materia de seguridad integral. </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Con base en diagnósticos, estadísticas, tendencias, entre otras fuentes de información, se pueden correlacionar y cruzar datos de información, diseñar mapas delictivos, realizar </w:t>
      </w:r>
      <w:proofErr w:type="spellStart"/>
      <w:r w:rsidRPr="008B2B99">
        <w:rPr>
          <w:rFonts w:ascii="Arial" w:eastAsia="MS Mincho" w:hAnsi="Arial" w:cs="Arial"/>
          <w:sz w:val="22"/>
          <w:szCs w:val="22"/>
          <w:lang w:val="es-ES_tradnl" w:eastAsia="ja-JP"/>
        </w:rPr>
        <w:t>georreferenciación</w:t>
      </w:r>
      <w:proofErr w:type="spellEnd"/>
      <w:r w:rsidRPr="008B2B99">
        <w:rPr>
          <w:rFonts w:ascii="Arial" w:eastAsia="MS Mincho" w:hAnsi="Arial" w:cs="Arial"/>
          <w:sz w:val="22"/>
          <w:szCs w:val="22"/>
          <w:lang w:val="es-ES_tradnl" w:eastAsia="ja-JP"/>
        </w:rPr>
        <w:t xml:space="preserve"> y tableros de control; identificar patrones de comportamiento criminal y determinar tendencias en los factores criminógenos; produciendo una efectiva </w:t>
      </w:r>
      <w:r w:rsidRPr="008B2B99">
        <w:rPr>
          <w:rFonts w:ascii="Arial" w:eastAsia="MS Mincho" w:hAnsi="Arial" w:cs="Arial"/>
          <w:sz w:val="22"/>
          <w:szCs w:val="22"/>
          <w:lang w:val="es-ES_tradnl" w:eastAsia="ja-JP"/>
        </w:rPr>
        <w:lastRenderedPageBreak/>
        <w:t xml:space="preserve">investigación, persecución y prevención del delito, lo que ayuda a optimizar recursos y focalizar esfuerzos. </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En este orden de ideas, con el resultado del análisis cualitativo y cuantitativo de la información, se diseñarán e implementarán políticas públicas integrales y holísticas en materia de seguridad, no sólo para conocer la situación actual de la delincuencia, sino combatirla y prevenirla. </w:t>
      </w:r>
    </w:p>
    <w:p w:rsidR="0022687E" w:rsidRPr="0022687E" w:rsidRDefault="0022687E" w:rsidP="0022687E">
      <w:pPr>
        <w:spacing w:after="200"/>
        <w:ind w:left="708"/>
        <w:rPr>
          <w:rFonts w:ascii="Arial" w:eastAsia="MS Mincho" w:hAnsi="Arial" w:cs="Arial"/>
          <w:b/>
          <w:color w:val="1F497D"/>
          <w:lang w:val="es-ES_tradnl" w:eastAsia="ja-JP"/>
        </w:rPr>
      </w:pPr>
    </w:p>
    <w:p w:rsidR="0022687E" w:rsidRPr="0022687E" w:rsidRDefault="0022687E" w:rsidP="0022687E">
      <w:pPr>
        <w:spacing w:after="200"/>
        <w:ind w:left="708"/>
        <w:rPr>
          <w:rFonts w:ascii="Arial" w:eastAsia="MS Mincho" w:hAnsi="Arial" w:cs="Arial"/>
          <w:b/>
          <w:color w:val="1F497D"/>
          <w:sz w:val="32"/>
          <w:szCs w:val="32"/>
          <w:lang w:val="es-ES_tradnl" w:eastAsia="ja-JP"/>
        </w:rPr>
      </w:pPr>
      <w:r w:rsidRPr="0022687E">
        <w:rPr>
          <w:rFonts w:ascii="Arial" w:eastAsia="MS Mincho" w:hAnsi="Arial" w:cs="Arial"/>
          <w:b/>
          <w:color w:val="1F497D"/>
          <w:sz w:val="32"/>
          <w:szCs w:val="32"/>
          <w:lang w:val="es-ES_tradnl" w:eastAsia="ja-JP"/>
        </w:rPr>
        <w:t>4.2.4. Seguridad vial</w:t>
      </w:r>
    </w:p>
    <w:p w:rsidR="0022687E" w:rsidRPr="0022687E" w:rsidRDefault="0022687E" w:rsidP="0022687E">
      <w:pPr>
        <w:spacing w:line="360" w:lineRule="auto"/>
        <w:jc w:val="both"/>
        <w:rPr>
          <w:rFonts w:ascii="Arial" w:hAnsi="Arial" w:cs="Arial"/>
          <w:i/>
          <w:color w:val="4F81BD"/>
          <w:lang w:val="es-ES_tradnl"/>
        </w:rPr>
      </w:pPr>
      <w:r w:rsidRPr="0022687E">
        <w:rPr>
          <w:rFonts w:ascii="Arial" w:hAnsi="Arial" w:cs="Arial"/>
          <w:i/>
          <w:color w:val="4F81BD"/>
          <w:shd w:val="clear" w:color="auto" w:fill="FFFFFF"/>
          <w:lang w:val="es-ES_tradnl"/>
        </w:rPr>
        <w:t>Generar condiciones que permitan el desplazamiento terrestre ágil y seguro, previniendo accidentes y minimizando sus efectos, a través de un marco normativo efectivo, la profesionalización institucional y la cultura vial responsable.</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La movilidad de las personas es un tema fundamental para la vida de cualquier ciudad, más aún para una capital de un Estado como Nuevo León. Por esta razón, en el presente Plan Municipal de Desarrollo se tiene a la Movilidad como un objetivo estratégico dentro del eje de Desarrollo Urbano Sustentable. Sin embargo, este tema debe ser entendido también desde el enfoque de la seguridad vial y la prevención de accidentes asociados al tránsito de personas y vehículos.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Una de las causas más comunes por las cuales el desplazamiento de la ciudadanía se ve trastocado es por los accidentes viales. Éstos no solamente generan perjuicios a quienes participan en ellos, sino a todos los otros conductores, y a su vez pueden ser el origen de otros accidentes. </w:t>
      </w:r>
    </w:p>
    <w:p w:rsidR="0022687E" w:rsidRPr="008B2B99" w:rsidRDefault="0022687E" w:rsidP="0022687E">
      <w:pPr>
        <w:shd w:val="clear" w:color="auto" w:fill="FFFFFF"/>
        <w:spacing w:after="101" w:line="360" w:lineRule="auto"/>
        <w:jc w:val="both"/>
        <w:rPr>
          <w:rFonts w:ascii="Arial" w:hAnsi="Arial" w:cs="Arial"/>
          <w:color w:val="2F2F2F"/>
          <w:sz w:val="22"/>
          <w:szCs w:val="22"/>
          <w:lang w:val="es-ES_tradnl"/>
        </w:rPr>
      </w:pPr>
      <w:r w:rsidRPr="008B2B99">
        <w:rPr>
          <w:rFonts w:ascii="Arial" w:hAnsi="Arial" w:cs="Arial"/>
          <w:color w:val="2F2F2F"/>
          <w:sz w:val="22"/>
          <w:szCs w:val="22"/>
          <w:lang w:val="es-ES_tradnl"/>
        </w:rPr>
        <w:t xml:space="preserve">Tomando en consideración que en el año 2010 la Asamblea General de la Organización de las Naciones Unidas proclamó el periodo 2011-2020 “Decenio de Acción para la Seguridad Vial”, con el objeto de estabilizar y reducir las cifras previstas de víctimas mortales en accidentes de tránsito en todo el mundo, esta administración ve la necesidad </w:t>
      </w:r>
      <w:r w:rsidRPr="008B2B99">
        <w:rPr>
          <w:rFonts w:ascii="Arial" w:hAnsi="Arial" w:cs="Arial"/>
          <w:color w:val="2F2F2F"/>
          <w:sz w:val="22"/>
          <w:szCs w:val="22"/>
          <w:lang w:val="es-ES_tradnl"/>
        </w:rPr>
        <w:lastRenderedPageBreak/>
        <w:t xml:space="preserve">de desarrollar políticas publicadas orientadas a favorecer el tránsito seguro, la prevención de accidentes y la minimización de sus efectos. </w:t>
      </w:r>
    </w:p>
    <w:p w:rsidR="0022687E" w:rsidRPr="008B2B99" w:rsidRDefault="0022687E" w:rsidP="0022687E">
      <w:pPr>
        <w:shd w:val="clear" w:color="auto" w:fill="FFFFFF"/>
        <w:spacing w:after="101" w:line="360" w:lineRule="auto"/>
        <w:jc w:val="both"/>
        <w:rPr>
          <w:rFonts w:ascii="Arial" w:hAnsi="Arial" w:cs="Arial"/>
          <w:color w:val="2F2F2F"/>
          <w:sz w:val="22"/>
          <w:szCs w:val="22"/>
          <w:lang w:val="es-ES_tradnl"/>
        </w:rPr>
      </w:pPr>
      <w:r w:rsidRPr="008B2B99">
        <w:rPr>
          <w:rFonts w:ascii="Arial" w:hAnsi="Arial" w:cs="Arial"/>
          <w:color w:val="2F2F2F"/>
          <w:sz w:val="22"/>
          <w:szCs w:val="22"/>
          <w:lang w:val="es-ES_tradnl"/>
        </w:rPr>
        <w:t xml:space="preserve">Para ello, resulta indispensable la evaluación y mejoramiento de la infraestructura vial y de transportes, la profesionalización de los servidores públicos encargados de la vigilancia y aplicación de las normas de tránsito, la mejora de los sistemas de gestión y el fomento de una cultura vial responsable, mediante el conocimiento de los factores de riesgo, las medidas preventivas y la responsabilidad de todas las personas para asegurar la eficacia de las estrategias diseñadas. </w:t>
      </w:r>
    </w:p>
    <w:p w:rsidR="0022687E" w:rsidRPr="0022687E" w:rsidRDefault="0022687E" w:rsidP="0022687E">
      <w:pPr>
        <w:shd w:val="clear" w:color="auto" w:fill="FFFFFF"/>
        <w:spacing w:after="101" w:line="360" w:lineRule="auto"/>
        <w:jc w:val="both"/>
        <w:rPr>
          <w:rFonts w:ascii="Arial" w:hAnsi="Arial" w:cs="Arial"/>
          <w:color w:val="2F2F2F"/>
          <w:lang w:val="es-ES_tradnl"/>
        </w:rPr>
      </w:pPr>
    </w:p>
    <w:p w:rsidR="0022687E" w:rsidRPr="0022687E" w:rsidRDefault="0022687E" w:rsidP="0022687E">
      <w:pPr>
        <w:spacing w:after="200"/>
        <w:ind w:left="708"/>
        <w:rPr>
          <w:rFonts w:ascii="Arial" w:eastAsia="MS Mincho" w:hAnsi="Arial" w:cs="Arial"/>
          <w:b/>
          <w:color w:val="1F497D"/>
          <w:sz w:val="32"/>
          <w:szCs w:val="32"/>
          <w:lang w:val="es-ES_tradnl" w:eastAsia="ja-JP"/>
        </w:rPr>
      </w:pPr>
      <w:r w:rsidRPr="0022687E">
        <w:rPr>
          <w:rFonts w:ascii="Arial" w:eastAsia="MS Mincho" w:hAnsi="Arial" w:cs="Arial"/>
          <w:b/>
          <w:color w:val="1F497D"/>
          <w:sz w:val="32"/>
          <w:szCs w:val="32"/>
          <w:lang w:val="es-ES_tradnl" w:eastAsia="ja-JP"/>
        </w:rPr>
        <w:t>4.2.5. Justicia Municipal</w:t>
      </w:r>
    </w:p>
    <w:p w:rsidR="0022687E" w:rsidRPr="0022687E" w:rsidRDefault="0022687E" w:rsidP="0022687E">
      <w:pPr>
        <w:spacing w:after="200" w:line="360" w:lineRule="auto"/>
        <w:jc w:val="both"/>
        <w:rPr>
          <w:rFonts w:ascii="Arial" w:eastAsia="MS Mincho" w:hAnsi="Arial" w:cs="Arial"/>
          <w:i/>
          <w:color w:val="4F81BD"/>
          <w:lang w:val="es-ES_tradnl" w:eastAsia="ja-JP"/>
        </w:rPr>
      </w:pPr>
      <w:r w:rsidRPr="0022687E">
        <w:rPr>
          <w:rFonts w:ascii="Arial" w:eastAsia="MS Mincho" w:hAnsi="Arial" w:cs="Arial"/>
          <w:i/>
          <w:color w:val="4F81BD"/>
          <w:lang w:val="es-ES_tradnl" w:eastAsia="ja-JP"/>
        </w:rPr>
        <w:t xml:space="preserve">Crear un modelo de administración que permita la adecuada vigilancia y ejecución de los reglamentos municipales, sobre la base de los principios de legalidad, certeza, honradez, imparcialidad, objetividad y el respeto a los derechos humanos, así como contribuir a la resolución pacífica de los problemas de las personas.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En aras de construir una sociedad justa que favorezca la solución de conflictos de manera pacífica y la observancia de las normas que rigen el actuar de las personas dentro del municipio, resulta necesario el diseño e implementación de un modelo de administración de justicia municipal eficiente y eficaz.</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El municipio, como el orden de gobierno más cercano a la ciudadanía, es el principal garante de la convivencia en paz entre todos los integrantes de la sociedad. Ésta es precisamente la justificación para la existencia del Reglamento de Policía y Bueno Gobierno y demás reglamentos municipales que prohíben ciertas conductas que son consideradas como lesivas para la sana convivencia.</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lastRenderedPageBreak/>
        <w:t>No obstante lo anterior, uno de los principales problemas para la eficacia de estos reglamentos tiene que ver con la aplicación de las sanciones que corresponden frente a su inobservancia. Por ello, a la par de la transformación de la policía municipal en una policía de proximidad, es menester rediseñar el “sistema de impartición de justicia municipal” que actualmente se lleva a cabo por los Jueces Calificadores.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Los principales aspectos de la impartición de justicia que conciernen al municipio se pueden concentrar en los siguientes (Platas, Arnoldo, 2005):</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La formación y capacitación de los encargados de impartir justicia dentro de la administración municipal, así como aquéllos facultados para auxiliar en la mediación o conciliación de los conflictos.</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 xml:space="preserve">La instauración de la mediación y conciliación para la solución de conflictos facilitando la participación social. </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La adecuación del marco normativo municipal que establezca una estructura organizacional y mecanismos para la sanción de infracciones cometidas dentro del ámbito de competencia municipal.</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 xml:space="preserve">El establecimiento de un adecuado régimen de recursos administrativos que permitan al ciudadano recurrir las resoluciones que considere injustas. </w:t>
      </w:r>
    </w:p>
    <w:p w:rsidR="0022687E" w:rsidRPr="0022687E" w:rsidRDefault="0022687E" w:rsidP="0022687E">
      <w:pPr>
        <w:spacing w:after="200" w:line="360" w:lineRule="auto"/>
        <w:ind w:left="360"/>
        <w:jc w:val="both"/>
        <w:rPr>
          <w:rFonts w:ascii="Arial" w:eastAsia="MS Mincho" w:hAnsi="Arial" w:cs="Arial"/>
          <w:i/>
          <w:lang w:val="es-ES_tradnl" w:eastAsia="ja-JP"/>
        </w:rPr>
      </w:pPr>
    </w:p>
    <w:p w:rsidR="0022687E" w:rsidRPr="0022687E" w:rsidRDefault="0022687E" w:rsidP="0022687E">
      <w:pPr>
        <w:widowControl w:val="0"/>
        <w:numPr>
          <w:ilvl w:val="1"/>
          <w:numId w:val="44"/>
        </w:numPr>
        <w:autoSpaceDE w:val="0"/>
        <w:autoSpaceDN w:val="0"/>
        <w:adjustRightInd w:val="0"/>
        <w:spacing w:after="240" w:line="360" w:lineRule="auto"/>
        <w:contextualSpacing/>
        <w:jc w:val="both"/>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Proyectos estratégicos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A partir de los objetivos estratégicos descritos en el eje de seguridad integral, se desarrollan los proyectos que sirven para contribuir al alcance de aquéllos y que establecen las bases para el desarrollo de las actividades de la administración pública municipal durante el periodo 2015-2018. </w:t>
      </w:r>
      <w:r w:rsidRPr="008B2B99">
        <w:rPr>
          <w:rFonts w:ascii="Arial" w:eastAsia="MS Mincho" w:hAnsi="Arial" w:cs="Arial"/>
          <w:sz w:val="22"/>
          <w:szCs w:val="22"/>
          <w:vertAlign w:val="superscript"/>
          <w:lang w:eastAsia="ja-JP"/>
        </w:rPr>
        <w:footnoteReference w:id="10"/>
      </w:r>
      <w:r w:rsidRPr="008B2B99">
        <w:rPr>
          <w:rFonts w:ascii="Arial" w:eastAsia="MS Mincho" w:hAnsi="Arial" w:cs="Arial"/>
          <w:sz w:val="22"/>
          <w:szCs w:val="22"/>
          <w:lang w:eastAsia="ja-JP"/>
        </w:rPr>
        <w:t xml:space="preserve"> </w:t>
      </w:r>
    </w:p>
    <w:p w:rsidR="0022687E" w:rsidRPr="0022687E" w:rsidRDefault="0022687E" w:rsidP="0022687E">
      <w:pPr>
        <w:spacing w:after="200"/>
        <w:ind w:left="-567"/>
        <w:rPr>
          <w:rFonts w:ascii="Arial" w:eastAsia="MS Mincho" w:hAnsi="Arial" w:cs="Arial"/>
          <w:b/>
          <w:color w:val="365F91"/>
          <w:sz w:val="32"/>
          <w:szCs w:val="32"/>
          <w:lang w:eastAsia="ja-JP"/>
        </w:rPr>
      </w:pPr>
      <w:r w:rsidRPr="0022687E">
        <w:rPr>
          <w:rFonts w:ascii="Arial" w:eastAsia="MS Mincho" w:hAnsi="Arial" w:cs="Arial"/>
          <w:b/>
          <w:noProof/>
          <w:color w:val="365F91"/>
          <w:sz w:val="32"/>
          <w:szCs w:val="32"/>
          <w:lang w:val="es-MX" w:eastAsia="es-MX"/>
        </w:rPr>
        <w:lastRenderedPageBreak/>
        <w:drawing>
          <wp:inline distT="0" distB="0" distL="0" distR="0" wp14:anchorId="6A60AECE" wp14:editId="1A1F078E">
            <wp:extent cx="6302375" cy="4349115"/>
            <wp:effectExtent l="0" t="0" r="0" b="0"/>
            <wp:docPr id="20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03267" cy="4349731"/>
                    </a:xfrm>
                    <a:prstGeom prst="rect">
                      <a:avLst/>
                    </a:prstGeom>
                    <a:noFill/>
                    <a:ln>
                      <a:noFill/>
                    </a:ln>
                  </pic:spPr>
                </pic:pic>
              </a:graphicData>
            </a:graphic>
          </wp:inline>
        </w:drawing>
      </w:r>
    </w:p>
    <w:p w:rsidR="0022687E" w:rsidRPr="0022687E" w:rsidRDefault="0022687E" w:rsidP="0022687E">
      <w:pPr>
        <w:spacing w:after="200"/>
        <w:ind w:left="-567"/>
        <w:rPr>
          <w:rFonts w:ascii="Arial" w:eastAsia="MS Mincho" w:hAnsi="Arial" w:cs="Arial"/>
          <w:b/>
          <w:color w:val="365F91"/>
          <w:sz w:val="32"/>
          <w:szCs w:val="32"/>
          <w:lang w:eastAsia="ja-JP"/>
        </w:rPr>
      </w:pPr>
      <w:r w:rsidRPr="0022687E">
        <w:rPr>
          <w:rFonts w:ascii="Arial" w:eastAsia="MS Mincho" w:hAnsi="Arial" w:cs="Arial"/>
          <w:b/>
          <w:noProof/>
          <w:color w:val="365F91"/>
          <w:sz w:val="32"/>
          <w:szCs w:val="32"/>
          <w:lang w:val="es-MX" w:eastAsia="es-MX"/>
        </w:rPr>
        <w:lastRenderedPageBreak/>
        <w:drawing>
          <wp:inline distT="0" distB="0" distL="0" distR="0" wp14:anchorId="25B7FF68" wp14:editId="1ECE104D">
            <wp:extent cx="6302375" cy="5288280"/>
            <wp:effectExtent l="0" t="0" r="0" b="0"/>
            <wp:docPr id="2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03103" cy="5288891"/>
                    </a:xfrm>
                    <a:prstGeom prst="rect">
                      <a:avLst/>
                    </a:prstGeom>
                    <a:noFill/>
                    <a:ln>
                      <a:noFill/>
                    </a:ln>
                  </pic:spPr>
                </pic:pic>
              </a:graphicData>
            </a:graphic>
          </wp:inline>
        </w:drawing>
      </w:r>
    </w:p>
    <w:p w:rsidR="0022687E" w:rsidRPr="0022687E" w:rsidRDefault="0022687E" w:rsidP="0022687E">
      <w:pPr>
        <w:spacing w:after="200"/>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br w:type="page"/>
      </w:r>
    </w:p>
    <w:p w:rsidR="0022687E" w:rsidRPr="0022687E" w:rsidRDefault="0022687E" w:rsidP="0022687E">
      <w:pPr>
        <w:numPr>
          <w:ilvl w:val="1"/>
          <w:numId w:val="37"/>
        </w:numPr>
        <w:spacing w:after="200"/>
        <w:contextualSpacing/>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lastRenderedPageBreak/>
        <w:t>Metas e indicadores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seguridad integral y los indicadores que permitirán evaluar el alcance de las mismas.</w:t>
      </w:r>
    </w:p>
    <w:p w:rsidR="0022687E" w:rsidRPr="0022687E" w:rsidRDefault="0022687E" w:rsidP="00BA6D82">
      <w:pPr>
        <w:spacing w:after="200"/>
        <w:ind w:left="-567"/>
        <w:rPr>
          <w:rFonts w:ascii="Arial" w:eastAsia="MS Mincho" w:hAnsi="Arial" w:cs="Arial"/>
          <w:b/>
          <w:color w:val="32C659"/>
          <w:sz w:val="40"/>
          <w:szCs w:val="40"/>
          <w:lang w:val="es-ES_tradnl" w:eastAsia="ja-JP"/>
        </w:rPr>
      </w:pPr>
      <w:r w:rsidRPr="0022687E">
        <w:rPr>
          <w:rFonts w:ascii="Arial" w:eastAsia="MS Mincho" w:hAnsi="Arial" w:cs="Arial"/>
          <w:noProof/>
          <w:lang w:val="es-MX" w:eastAsia="es-MX"/>
        </w:rPr>
        <w:lastRenderedPageBreak/>
        <w:drawing>
          <wp:inline distT="0" distB="0" distL="0" distR="0" wp14:anchorId="7632F9A4" wp14:editId="1C9FF108">
            <wp:extent cx="6302375" cy="6690995"/>
            <wp:effectExtent l="0" t="0" r="0" b="0"/>
            <wp:docPr id="2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02667" cy="6691305"/>
                    </a:xfrm>
                    <a:prstGeom prst="rect">
                      <a:avLst/>
                    </a:prstGeom>
                    <a:noFill/>
                    <a:ln>
                      <a:noFill/>
                    </a:ln>
                  </pic:spPr>
                </pic:pic>
              </a:graphicData>
            </a:graphic>
          </wp:inline>
        </w:drawing>
      </w:r>
      <w:r w:rsidRPr="0022687E">
        <w:rPr>
          <w:rFonts w:ascii="Arial" w:eastAsia="MS Mincho" w:hAnsi="Arial" w:cs="Arial"/>
          <w:lang w:eastAsia="ja-JP"/>
        </w:rPr>
        <w:br w:type="page"/>
      </w:r>
      <w:r w:rsidRPr="0022687E">
        <w:rPr>
          <w:rFonts w:ascii="Arial" w:eastAsia="MS Mincho" w:hAnsi="Arial" w:cs="Arial"/>
          <w:b/>
          <w:color w:val="32C659"/>
          <w:sz w:val="72"/>
          <w:szCs w:val="72"/>
          <w:lang w:val="es-ES_tradnl" w:eastAsia="ja-JP"/>
        </w:rPr>
        <w:lastRenderedPageBreak/>
        <w:t xml:space="preserve">5 </w:t>
      </w:r>
      <w:r w:rsidRPr="0022687E">
        <w:rPr>
          <w:rFonts w:ascii="Arial" w:eastAsia="MS Mincho" w:hAnsi="Arial" w:cs="Arial"/>
          <w:b/>
          <w:color w:val="32C659"/>
          <w:sz w:val="40"/>
          <w:szCs w:val="40"/>
          <w:lang w:val="es-ES_tradnl" w:eastAsia="ja-JP"/>
        </w:rPr>
        <w:t xml:space="preserve">Desarrollo Urbano Sustentable </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sz w:val="22"/>
          <w:szCs w:val="22"/>
          <w:lang w:val="es-ES_tradnl"/>
        </w:rPr>
        <w:t xml:space="preserve">Como resultado del crecimiento poblacional y la expansión urbana, aumentan la demanda de servicios públicos. Además. </w:t>
      </w:r>
      <w:proofErr w:type="gramStart"/>
      <w:r w:rsidRPr="008B2B99">
        <w:rPr>
          <w:rFonts w:ascii="Arial" w:hAnsi="Arial" w:cs="Arial"/>
          <w:sz w:val="22"/>
          <w:szCs w:val="22"/>
          <w:lang w:val="es-ES_tradnl"/>
        </w:rPr>
        <w:t>el</w:t>
      </w:r>
      <w:proofErr w:type="gramEnd"/>
      <w:r w:rsidRPr="008B2B99">
        <w:rPr>
          <w:rFonts w:ascii="Arial" w:hAnsi="Arial" w:cs="Arial"/>
          <w:sz w:val="22"/>
          <w:szCs w:val="22"/>
          <w:lang w:val="es-ES_tradnl"/>
        </w:rPr>
        <w:t xml:space="preserve"> crecimiento acelerado exacerba los problemas de contaminación, cambio climático, consumo de energía, agotamiento de recursos y congestión (ITDP, 2015).</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sz w:val="22"/>
          <w:szCs w:val="22"/>
          <w:lang w:val="es-ES_tradnl"/>
        </w:rPr>
        <w:t xml:space="preserve">Esto obliga a los Municipios a generar estrategias que permitan el desarrollo y crecimiento de la ciudad de manera ordenada, asegurando la cobertura de servicios y buscando la sustentabilidad y </w:t>
      </w:r>
      <w:proofErr w:type="spellStart"/>
      <w:r w:rsidRPr="008B2B99">
        <w:rPr>
          <w:rFonts w:ascii="Arial" w:hAnsi="Arial" w:cs="Arial"/>
          <w:sz w:val="22"/>
          <w:szCs w:val="22"/>
          <w:lang w:val="es-ES_tradnl"/>
        </w:rPr>
        <w:t>resiliencia</w:t>
      </w:r>
      <w:proofErr w:type="spellEnd"/>
      <w:r w:rsidRPr="008B2B99">
        <w:rPr>
          <w:rFonts w:ascii="Arial" w:hAnsi="Arial" w:cs="Arial"/>
          <w:sz w:val="22"/>
          <w:szCs w:val="22"/>
          <w:lang w:val="es-ES_tradnl"/>
        </w:rPr>
        <w:t xml:space="preserve"> de la sociedad.</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sz w:val="22"/>
          <w:szCs w:val="22"/>
          <w:lang w:val="es-ES_tradnl"/>
        </w:rPr>
        <w:t xml:space="preserve">Desde esta perspectiva, se plantea desarrollar políticas integrales que involucren a la sociedad en el diseño y construcción del medio físico en el que se desenvuelve, buscando la inclusión social, seguridad ciudadana, el desarrollo económico competitivo, un medio ambiente sano y, por ende, la calidad de vida de los habitantes de Monterrey.  </w:t>
      </w:r>
    </w:p>
    <w:p w:rsidR="0022687E" w:rsidRPr="0022687E" w:rsidRDefault="0022687E" w:rsidP="0022687E">
      <w:pPr>
        <w:spacing w:line="360" w:lineRule="auto"/>
        <w:jc w:val="both"/>
        <w:rPr>
          <w:rFonts w:ascii="Arial" w:hAnsi="Arial" w:cs="Arial"/>
          <w:lang w:val="es-ES_tradnl"/>
        </w:rPr>
      </w:pPr>
    </w:p>
    <w:p w:rsidR="0022687E" w:rsidRPr="0022687E" w:rsidRDefault="0022687E" w:rsidP="0022687E">
      <w:pPr>
        <w:numPr>
          <w:ilvl w:val="1"/>
          <w:numId w:val="43"/>
        </w:numPr>
        <w:spacing w:after="200" w:line="360" w:lineRule="auto"/>
        <w:ind w:hanging="294"/>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Aportaciones ciudadanas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Durante el foro para la elaboración del Plan Municipal de Desarrollo 2015-2018, se levantaron encuestas relacionadas con los objetivos dispuestos en este documento para conocer la opinión de la población respecto a las soluciones y alternativas del Municipio para contribuir al desarrollo sostenible de la ciudad.</w:t>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noProof/>
          <w:lang w:val="es-MX" w:eastAsia="es-MX"/>
        </w:rPr>
        <w:lastRenderedPageBreak/>
        <w:drawing>
          <wp:inline distT="0" distB="0" distL="0" distR="0" wp14:anchorId="567D0E0C" wp14:editId="1690C677">
            <wp:extent cx="5940002" cy="2752090"/>
            <wp:effectExtent l="0" t="0" r="3810" b="0"/>
            <wp:docPr id="20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002" cy="2752090"/>
                    </a:xfrm>
                    <a:prstGeom prst="rect">
                      <a:avLst/>
                    </a:prstGeom>
                    <a:noFill/>
                    <a:ln>
                      <a:noFill/>
                    </a:ln>
                  </pic:spPr>
                </pic:pic>
              </a:graphicData>
            </a:graphic>
          </wp:inline>
        </w:drawing>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5525A2F0" wp14:editId="1FE8AC61">
            <wp:extent cx="5940002" cy="2517140"/>
            <wp:effectExtent l="0" t="0" r="3810" b="0"/>
            <wp:docPr id="20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743" cy="2517454"/>
                    </a:xfrm>
                    <a:prstGeom prst="rect">
                      <a:avLst/>
                    </a:prstGeom>
                    <a:noFill/>
                    <a:ln>
                      <a:noFill/>
                    </a:ln>
                  </pic:spPr>
                </pic:pic>
              </a:graphicData>
            </a:graphic>
          </wp:inline>
        </w:drawing>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De las aportaciones por parte de los expertos que intervinieron en las mesas de discusión, como de los ciudadanos que asistieron y dejaron constancia de sus inquietudes y propuestas, es posible destacar las siguientes: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Es necesaria la coordinación entre la sociedad, el municipio y la iniciativa privada para la implementación de estrategias de desarrollo urbano sustentable.</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lastRenderedPageBreak/>
        <w:t xml:space="preserve">Infraestructura para la conectividad, el acceso y la convivencia para asegurar el acceso, goce y ejercicio de los derechos.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Se requieren el diseño e implementación de estrategias integrales coordinadas con el Estado y los municipios de la zona metropolitana;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El aprovechamiento de espacios para la educación en materia ambiental.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Fomentar la reducción, reutilización y reciclaje de basura.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Fortalecer la coordinación entre la sociedad civil, el gobierno municipal y la iniciativa privada en la reforestación del Municipio. </w:t>
      </w:r>
    </w:p>
    <w:p w:rsidR="0022687E" w:rsidRPr="0022687E" w:rsidRDefault="0022687E" w:rsidP="0022687E">
      <w:pPr>
        <w:numPr>
          <w:ilvl w:val="1"/>
          <w:numId w:val="43"/>
        </w:numPr>
        <w:spacing w:after="200" w:line="360" w:lineRule="auto"/>
        <w:ind w:hanging="294"/>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Objetivos estratégicos</w:t>
      </w:r>
    </w:p>
    <w:p w:rsidR="0022687E" w:rsidRDefault="0022687E" w:rsidP="0022687E">
      <w:pPr>
        <w:spacing w:after="200" w:line="360" w:lineRule="auto"/>
        <w:ind w:left="426"/>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A fin de lograr un desarrollo ordenado y sustentable del medio físico en el que se desarrolla la comunidad del Municipio de Monterrey, se plantearon los siguientes objetivos estratégicos, mismos que serán sustento para la definición de los proyectos que serán desarrollados durante esta administración. </w:t>
      </w:r>
    </w:p>
    <w:p w:rsidR="008B2B99" w:rsidRPr="008B2B99" w:rsidRDefault="008B2B99" w:rsidP="0022687E">
      <w:pPr>
        <w:spacing w:after="200" w:line="360" w:lineRule="auto"/>
        <w:ind w:left="426"/>
        <w:jc w:val="both"/>
        <w:rPr>
          <w:rFonts w:ascii="Arial" w:eastAsia="MS Mincho" w:hAnsi="Arial" w:cs="Arial"/>
          <w:sz w:val="22"/>
          <w:szCs w:val="22"/>
          <w:lang w:val="es-ES_tradnl" w:eastAsia="ja-JP"/>
        </w:rPr>
      </w:pPr>
    </w:p>
    <w:p w:rsidR="0022687E" w:rsidRPr="0022687E" w:rsidRDefault="0022687E" w:rsidP="0022687E">
      <w:pPr>
        <w:spacing w:after="200" w:line="360" w:lineRule="auto"/>
        <w:jc w:val="center"/>
        <w:rPr>
          <w:rFonts w:ascii="Arial" w:eastAsia="MS Mincho" w:hAnsi="Arial" w:cs="Arial"/>
          <w:lang w:val="es-ES_tradnl" w:eastAsia="ja-JP"/>
        </w:rPr>
      </w:pPr>
      <w:r w:rsidRPr="0022687E">
        <w:rPr>
          <w:rFonts w:ascii="Arial" w:eastAsia="MS Mincho" w:hAnsi="Arial" w:cs="Arial"/>
          <w:b/>
          <w:noProof/>
          <w:lang w:val="es-MX" w:eastAsia="es-MX"/>
        </w:rPr>
        <w:drawing>
          <wp:inline distT="0" distB="0" distL="0" distR="0" wp14:anchorId="128ED814" wp14:editId="0D042101">
            <wp:extent cx="3931920" cy="2322195"/>
            <wp:effectExtent l="0" t="19050" r="0" b="78105"/>
            <wp:docPr id="208" name="Diagrama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22687E" w:rsidRPr="0022687E" w:rsidRDefault="0022687E" w:rsidP="0022687E">
      <w:pPr>
        <w:spacing w:after="200" w:line="360" w:lineRule="auto"/>
        <w:jc w:val="both"/>
        <w:rPr>
          <w:rFonts w:ascii="Arial" w:eastAsia="MS Mincho" w:hAnsi="Arial" w:cs="Arial"/>
          <w:b/>
          <w:color w:val="F79646"/>
          <w:sz w:val="32"/>
          <w:szCs w:val="32"/>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lastRenderedPageBreak/>
        <w:t xml:space="preserve">5.2.1. Gestión urbana y obra pública </w:t>
      </w:r>
    </w:p>
    <w:p w:rsidR="0022687E" w:rsidRPr="0022687E" w:rsidRDefault="0022687E" w:rsidP="0022687E">
      <w:pPr>
        <w:spacing w:after="200" w:line="360" w:lineRule="auto"/>
        <w:jc w:val="both"/>
        <w:rPr>
          <w:rFonts w:ascii="Arial" w:eastAsia="MS Mincho" w:hAnsi="Arial" w:cs="Arial"/>
          <w:i/>
          <w:color w:val="5FE861"/>
          <w:lang w:val="es-ES_tradnl" w:eastAsia="ja-JP"/>
        </w:rPr>
      </w:pPr>
      <w:r w:rsidRPr="0022687E">
        <w:rPr>
          <w:rFonts w:ascii="Arial" w:eastAsia="MS Mincho" w:hAnsi="Arial" w:cs="Arial"/>
          <w:i/>
          <w:color w:val="5FE861"/>
          <w:lang w:val="es-ES_tradnl" w:eastAsia="ja-JP"/>
        </w:rPr>
        <w:t xml:space="preserve">Contar con procesos que integren adecuadamente la planeación, gestión y ejecución de la obra pública bajo un enfoque humano y sostenible. </w:t>
      </w:r>
    </w:p>
    <w:p w:rsidR="0022687E" w:rsidRPr="006E1308" w:rsidRDefault="0022687E" w:rsidP="0022687E">
      <w:pPr>
        <w:spacing w:after="200" w:line="360" w:lineRule="auto"/>
        <w:jc w:val="both"/>
        <w:rPr>
          <w:rFonts w:ascii="Arial" w:hAnsi="Arial"/>
          <w:color w:val="333333"/>
          <w:sz w:val="22"/>
          <w:szCs w:val="22"/>
          <w:shd w:val="clear" w:color="auto" w:fill="FFFFFF"/>
          <w:lang w:val="es-ES_tradnl" w:eastAsia="ja-JP"/>
        </w:rPr>
      </w:pPr>
      <w:r w:rsidRPr="006E1308">
        <w:rPr>
          <w:rFonts w:ascii="Arial" w:hAnsi="Arial"/>
          <w:color w:val="333333"/>
          <w:sz w:val="22"/>
          <w:szCs w:val="22"/>
          <w:shd w:val="clear" w:color="auto" w:fill="FFFFFF"/>
          <w:lang w:val="es-ES_tradnl" w:eastAsia="ja-JP"/>
        </w:rPr>
        <w:t xml:space="preserve">El concepto de Gestión Urbana es un conjunto de instrumentos y proyectos concentrados para la normalización del uso de suelo urbano y rural. De igual manera, es un conjunto de fuerzas políticas e iniciativas locales y procesos de planificación urbanística para proteger el interés común. </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olor w:val="333333"/>
          <w:sz w:val="22"/>
          <w:szCs w:val="22"/>
          <w:shd w:val="clear" w:color="auto" w:fill="FFFFFF"/>
          <w:lang w:val="es-ES_tradnl" w:eastAsia="ja-JP"/>
        </w:rPr>
        <w:t>En general, la gestión urbana se da por dos factores principales: el crecimiento poblacional y la globalización</w:t>
      </w:r>
      <w:r w:rsidRPr="006E1308">
        <w:rPr>
          <w:rFonts w:ascii="Arial" w:hAnsi="Arial" w:cs="Arial"/>
          <w:color w:val="333333"/>
          <w:sz w:val="22"/>
          <w:szCs w:val="22"/>
          <w:shd w:val="clear" w:color="auto" w:fill="FFFFFF"/>
          <w:lang w:val="es-ES_tradnl" w:eastAsia="ja-JP"/>
        </w:rPr>
        <w:t xml:space="preserve">. </w:t>
      </w:r>
      <w:r w:rsidRPr="006E1308">
        <w:rPr>
          <w:rFonts w:ascii="Arial" w:hAnsi="Arial" w:cs="Arial"/>
          <w:sz w:val="22"/>
          <w:szCs w:val="22"/>
          <w:lang w:val="es-ES_tradnl" w:eastAsia="ja-JP"/>
        </w:rPr>
        <w:t xml:space="preserve">La nueva lógica de acumulación inducida por el proceso de globalización ha abierto una fuerte competencia entre municipios para atraer inversiones. La acción selectiva de la inversión define áreas de oportunidad, que se constituyen en fenómenos de expansión de lugares o redes de lugares que tienden a su vez a denominarse “globalizados”. </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s="Arial"/>
          <w:sz w:val="22"/>
          <w:szCs w:val="22"/>
          <w:lang w:val="es-ES_tradnl" w:eastAsia="ja-JP"/>
        </w:rPr>
        <w:t>De acuerdo a esta lógica, los instrumentos clásicos de la planificación urbana, orientados más al control del uso de la ciudad y el territorio, resultan escasamente adecuados para sostener las acciones necesarias destinadas a enfrentar los procesos de transformación y adecuación a las nuevas demandas (CEPAL, 2003).”</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s="Arial"/>
          <w:sz w:val="22"/>
          <w:szCs w:val="22"/>
          <w:lang w:val="es-ES_tradnl" w:eastAsia="ja-JP"/>
        </w:rPr>
        <w:t xml:space="preserve">En otro sentido, la gestión urbana tiene suficiente relación con la movilidad de recursos destinados para obras públicas y planeación urbana pero con un enfoque más humanístico y social, es decir, la necesidad de optimizar recursos y agilizar servicios aumentando el grado de sustentabilidad (económico y medioambiental) mediante estrategias e iniciativas que aumenten la eficiencia y calidad, pero economicen recursos. Para que la gestión urbana sea eficiente es necesario el diseño de servicios públicos eficientes y no necesariamente en tecnologías costosas. </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s="Arial"/>
          <w:sz w:val="22"/>
          <w:szCs w:val="22"/>
          <w:lang w:val="es-ES_tradnl" w:eastAsia="ja-JP"/>
        </w:rPr>
        <w:lastRenderedPageBreak/>
        <w:t xml:space="preserve">Desde esta perspectiva, se plantea dentro de la planeación urbana el desarrollo de espacios que faciliten el tránsito seguro y confortable de todas las personas, ciclistas, conductores, transporte público, así como el diseño y gestión de espacios que fomenten la integración comunitaria, el desarrollo económico, la promoción y desarrollo de la cultura y el cuidado y protección del medio ambiente, a través de la gestión local en los procesos de planeación por medio de distritos urbanos, tales como “Distrito Purísima-Alameda”, “Distrito </w:t>
      </w:r>
      <w:proofErr w:type="spellStart"/>
      <w:r w:rsidRPr="006E1308">
        <w:rPr>
          <w:rFonts w:ascii="Arial" w:hAnsi="Arial" w:cs="Arial"/>
          <w:sz w:val="22"/>
          <w:szCs w:val="22"/>
          <w:lang w:val="es-ES_tradnl" w:eastAsia="ja-JP"/>
        </w:rPr>
        <w:t>Tec</w:t>
      </w:r>
      <w:proofErr w:type="spellEnd"/>
      <w:r w:rsidRPr="006E1308">
        <w:rPr>
          <w:rFonts w:ascii="Arial" w:hAnsi="Arial" w:cs="Arial"/>
          <w:sz w:val="22"/>
          <w:szCs w:val="22"/>
          <w:lang w:val="es-ES_tradnl" w:eastAsia="ja-JP"/>
        </w:rPr>
        <w:t xml:space="preserve">” o algún otro. </w:t>
      </w:r>
    </w:p>
    <w:p w:rsidR="0022687E" w:rsidRPr="0022687E" w:rsidRDefault="0022687E" w:rsidP="0022687E">
      <w:pPr>
        <w:spacing w:after="200" w:line="360" w:lineRule="auto"/>
        <w:jc w:val="both"/>
        <w:rPr>
          <w:rFonts w:ascii="Arial" w:eastAsia="MS Mincho" w:hAnsi="Arial" w:cs="Arial"/>
          <w:i/>
          <w:lang w:val="es-ES_tradnl" w:eastAsia="ja-JP"/>
        </w:rPr>
      </w:pPr>
    </w:p>
    <w:p w:rsidR="0022687E" w:rsidRPr="0022687E" w:rsidRDefault="0022687E" w:rsidP="0022687E">
      <w:pPr>
        <w:spacing w:after="200"/>
        <w:ind w:firstLine="708"/>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5.2.2. Movilidad humana</w:t>
      </w:r>
    </w:p>
    <w:p w:rsidR="0022687E" w:rsidRPr="0022687E" w:rsidRDefault="0022687E" w:rsidP="0022687E">
      <w:pPr>
        <w:spacing w:after="200" w:line="360" w:lineRule="auto"/>
        <w:contextualSpacing/>
        <w:jc w:val="both"/>
        <w:rPr>
          <w:rFonts w:ascii="Arial" w:hAnsi="Arial" w:cs="Arial"/>
          <w:i/>
          <w:color w:val="5FE861"/>
          <w:lang w:val="es-MX" w:eastAsia="en-US"/>
        </w:rPr>
      </w:pPr>
      <w:r w:rsidRPr="0022687E">
        <w:rPr>
          <w:rFonts w:ascii="Arial" w:hAnsi="Arial" w:cs="Arial"/>
          <w:i/>
          <w:color w:val="5FE861"/>
          <w:lang w:val="es-MX" w:eastAsia="en-US"/>
        </w:rPr>
        <w:t>Desarrollar estrategias que permitan la movilidad ágil, segura y sustentable de las personas en la ciudad desde una perspectiva de inclusión social.</w:t>
      </w:r>
    </w:p>
    <w:p w:rsidR="0022687E" w:rsidRPr="0022687E" w:rsidRDefault="0022687E" w:rsidP="0022687E">
      <w:pPr>
        <w:spacing w:after="200" w:line="360" w:lineRule="auto"/>
        <w:contextualSpacing/>
        <w:jc w:val="both"/>
        <w:rPr>
          <w:rFonts w:ascii="Arial" w:eastAsia="Cambria" w:hAnsi="Arial" w:cs="Arial"/>
          <w:i/>
          <w:lang w:val="es-MX" w:eastAsia="en-US"/>
        </w:rPr>
      </w:pP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Las personas requieren desplazarse de un lugar a otro para el desarrollo de sus actividades laborales, educativas, recreativas o recibir algún bien o servicio. Es por ello que el movimiento representa la posibilidad de acceder a oportunidades, bienes, productos y servicios.</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Atendiendo a la importancia que la movilidad tiene para el desarrollo humano y social, la Declaración Universal de los Derechos Humanos Emergentes, aprobada en la Conferencia de Monterrey de 2007, reconoce, dentro del derecho a la democracia participativa, el derecho a la ciudad y el derecho a la movilidad y accesibilidad.</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El derecho a la movilidad se refiere a que todas las personas deben poder acceder a un tráfico ordenado y a moverse con facilidad. La movilidad constituye una condición necesaria para el ejercicio de otros derechos, tales como la educación, salud, el trabajo e incluso los derechos de participación política.</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Para asegurar el desplazamiento ordenado y sostenible de las personas, esta administración pretende dirigirse bajo un enfoque humano de la movilidad y, por lo tanto, se plantea el desarrollo de políticas públicas bajo los siguientes tres ejes: </w:t>
      </w:r>
    </w:p>
    <w:p w:rsidR="0022687E" w:rsidRPr="006E1308" w:rsidRDefault="0022687E" w:rsidP="0022687E">
      <w:pPr>
        <w:numPr>
          <w:ilvl w:val="0"/>
          <w:numId w:val="35"/>
        </w:num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lastRenderedPageBreak/>
        <w:t xml:space="preserve">Accesibilidad: Intervención en la infraestructura pública para la eliminación de obstáculos en el desplazamiento de las personas. </w:t>
      </w:r>
    </w:p>
    <w:p w:rsidR="0022687E" w:rsidRPr="006E1308" w:rsidRDefault="0022687E" w:rsidP="0022687E">
      <w:pPr>
        <w:numPr>
          <w:ilvl w:val="0"/>
          <w:numId w:val="35"/>
        </w:num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Cultura de movilidad responsable: Impulsar una cultura de movilidad sostenible, mediante la educación y sensibilización del uso de medios de transporte alternativos al vehículo particular, tales como el transporte público, bicicletas, transporte corporativo o escolar, así como la caminata para desplazamientos cortos.  </w:t>
      </w:r>
    </w:p>
    <w:p w:rsidR="0022687E" w:rsidRPr="006E1308" w:rsidRDefault="0022687E" w:rsidP="0022687E">
      <w:pPr>
        <w:numPr>
          <w:ilvl w:val="0"/>
          <w:numId w:val="35"/>
        </w:num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Transporte público: Dentro del ámbito de las competencias municipales, proveer una infraestructura cómoda y segura para el acceso al transporte público. </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De esta manera, la administración municipal 2015-2018 plantea desarrollar estrategias con un enfoque holístico para organizar, gestionar y regular de manera incluyente la movilidad urbana. </w:t>
      </w:r>
    </w:p>
    <w:p w:rsidR="0022687E" w:rsidRPr="0022687E" w:rsidRDefault="0022687E" w:rsidP="0022687E">
      <w:pPr>
        <w:spacing w:after="200"/>
        <w:rPr>
          <w:rFonts w:ascii="Arial" w:eastAsia="MS Mincho" w:hAnsi="Arial" w:cs="Arial"/>
          <w:b/>
          <w:color w:val="32C659"/>
          <w:sz w:val="32"/>
          <w:szCs w:val="32"/>
          <w:lang w:val="es-ES_tradnl" w:eastAsia="ja-JP"/>
        </w:rPr>
      </w:pPr>
    </w:p>
    <w:p w:rsidR="0022687E" w:rsidRPr="0022687E" w:rsidRDefault="0022687E" w:rsidP="0022687E">
      <w:pPr>
        <w:spacing w:after="200"/>
        <w:ind w:firstLine="708"/>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5.2.3. Equilibrio ecológico</w:t>
      </w:r>
    </w:p>
    <w:p w:rsidR="0022687E" w:rsidRPr="0022687E" w:rsidRDefault="0022687E" w:rsidP="0022687E">
      <w:pPr>
        <w:spacing w:line="360" w:lineRule="auto"/>
        <w:jc w:val="both"/>
        <w:rPr>
          <w:rFonts w:ascii="Arial" w:hAnsi="Arial" w:cs="Arial"/>
          <w:i/>
          <w:color w:val="5FE861"/>
          <w:lang w:val="es-ES_tradnl"/>
        </w:rPr>
      </w:pPr>
      <w:r w:rsidRPr="0022687E">
        <w:rPr>
          <w:rFonts w:ascii="Arial" w:hAnsi="Arial" w:cs="Arial"/>
          <w:i/>
          <w:color w:val="5FE861"/>
          <w:lang w:val="es-ES_tradnl"/>
        </w:rPr>
        <w:t>Asegurar la sustentabilidad ambiental mediante la participación responsable de los habitantes de Monterrey en el cuidado, la protección, la preservación y el aprovechamiento racional de los recursos.</w:t>
      </w:r>
    </w:p>
    <w:p w:rsidR="0022687E" w:rsidRPr="006E1308" w:rsidRDefault="0022687E" w:rsidP="0022687E">
      <w:pPr>
        <w:shd w:val="clear" w:color="auto" w:fill="FFFFFF"/>
        <w:spacing w:after="150" w:line="360" w:lineRule="auto"/>
        <w:jc w:val="both"/>
        <w:rPr>
          <w:rFonts w:ascii="Arial" w:eastAsia="MS Mincho" w:hAnsi="Arial" w:cs="Arial"/>
          <w:sz w:val="22"/>
          <w:szCs w:val="22"/>
          <w:lang w:val="es-ES_tradnl"/>
        </w:rPr>
      </w:pPr>
      <w:r w:rsidRPr="006E1308">
        <w:rPr>
          <w:rFonts w:ascii="Arial" w:eastAsia="MS Mincho" w:hAnsi="Arial" w:cs="Arial"/>
          <w:sz w:val="22"/>
          <w:szCs w:val="22"/>
          <w:lang w:val="es-ES_tradnl"/>
        </w:rPr>
        <w:t xml:space="preserve">El cuidado del ambiente y el desarrollo sustentable requiere la participación de la ciudadanía en coordinación con el gobierno municipal para generar una cultura ecológica a través del conocimiento y concientización de temas como el calentamiento global, la disposición de agua, la deforestación, los patrones de producción y consumo, así como los principios y valores que sustentan el desarrollo social sustentable y responsable. </w:t>
      </w:r>
    </w:p>
    <w:p w:rsidR="0022687E" w:rsidRPr="006E1308" w:rsidRDefault="0022687E" w:rsidP="0022687E">
      <w:pPr>
        <w:shd w:val="clear" w:color="auto" w:fill="FFFFFF"/>
        <w:spacing w:after="150" w:line="360" w:lineRule="auto"/>
        <w:jc w:val="both"/>
        <w:rPr>
          <w:rFonts w:ascii="Arial" w:eastAsia="MS Mincho" w:hAnsi="Arial" w:cs="Arial"/>
          <w:sz w:val="22"/>
          <w:szCs w:val="22"/>
          <w:lang w:val="es-ES_tradnl"/>
        </w:rPr>
      </w:pPr>
      <w:r w:rsidRPr="006E1308">
        <w:rPr>
          <w:rFonts w:ascii="Arial" w:eastAsia="MS Mincho" w:hAnsi="Arial" w:cs="Arial"/>
          <w:sz w:val="22"/>
          <w:szCs w:val="22"/>
          <w:lang w:val="es-ES_tradnl"/>
        </w:rPr>
        <w:t>En consecuencia, se desarrollarán acciones orientadas hacia la educación ambiental, la reforestación, la gestión de desechos y la limpieza del espacio público.</w:t>
      </w:r>
    </w:p>
    <w:p w:rsidR="0022687E" w:rsidRDefault="0022687E" w:rsidP="0022687E">
      <w:pPr>
        <w:shd w:val="clear" w:color="auto" w:fill="FFFFFF"/>
        <w:spacing w:after="150" w:line="360" w:lineRule="auto"/>
        <w:jc w:val="both"/>
        <w:rPr>
          <w:rFonts w:ascii="Arial" w:eastAsia="MS Mincho" w:hAnsi="Arial" w:cs="Arial"/>
          <w:lang w:val="es-ES_tradnl"/>
        </w:rPr>
      </w:pPr>
      <w:r w:rsidRPr="0022687E">
        <w:rPr>
          <w:rFonts w:ascii="Arial" w:eastAsia="MS Mincho" w:hAnsi="Arial" w:cs="Arial"/>
          <w:lang w:val="es-ES_tradnl"/>
        </w:rPr>
        <w:t xml:space="preserve"> </w:t>
      </w:r>
    </w:p>
    <w:p w:rsidR="006E1308" w:rsidRPr="0022687E" w:rsidRDefault="006E1308" w:rsidP="0022687E">
      <w:pPr>
        <w:shd w:val="clear" w:color="auto" w:fill="FFFFFF"/>
        <w:spacing w:after="150" w:line="360" w:lineRule="auto"/>
        <w:jc w:val="both"/>
        <w:rPr>
          <w:rFonts w:ascii="Arial" w:eastAsia="MS Mincho" w:hAnsi="Arial" w:cs="Arial"/>
          <w:lang w:val="es-ES_tradnl"/>
        </w:rPr>
      </w:pPr>
    </w:p>
    <w:p w:rsidR="0022687E" w:rsidRPr="0022687E" w:rsidRDefault="0022687E" w:rsidP="0022687E">
      <w:pPr>
        <w:spacing w:after="200"/>
        <w:ind w:firstLine="708"/>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lastRenderedPageBreak/>
        <w:t>5.2 4. Servicios públicos de calidad</w:t>
      </w:r>
    </w:p>
    <w:p w:rsidR="0022687E" w:rsidRPr="0022687E" w:rsidRDefault="0022687E" w:rsidP="0022687E">
      <w:pPr>
        <w:spacing w:line="360" w:lineRule="auto"/>
        <w:jc w:val="both"/>
        <w:rPr>
          <w:rFonts w:ascii="Arial" w:hAnsi="Arial" w:cs="Arial"/>
          <w:i/>
          <w:color w:val="5FE861"/>
          <w:lang w:val="es-ES_tradnl"/>
        </w:rPr>
      </w:pPr>
      <w:r w:rsidRPr="0022687E">
        <w:rPr>
          <w:rFonts w:ascii="Arial" w:hAnsi="Arial" w:cs="Arial"/>
          <w:i/>
          <w:color w:val="5FE861"/>
          <w:lang w:val="es-ES_tradnl"/>
        </w:rPr>
        <w:t>Asegurar la prestación de servicios públicos de calidad de manera eficiente y eficaz.</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La calidad en los servicios públicos es una exigencia constitucional y es una obligación de la administración pública municipal. La gestión de la calidad de los servicios implica el compromiso con la comunidad y la mejora de las condiciones de trabajo, perfeccionamiento y supervisión social del servicio. </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hAnsi="Arial" w:cs="Arial"/>
          <w:sz w:val="22"/>
          <w:szCs w:val="22"/>
          <w:lang w:val="es-ES_tradnl"/>
        </w:rPr>
        <w:t>La mejora de la gestión pública municipal está definida cada vez más por la capacidad de generar y procesar información con rapidez y de desarrollar nuevas ideas, habilidades y procesos, así como por la puesta en funcionamiento de sistemas organizativos y productivos más flexibles y por la presencia de estructuras que potencien y faciliten la interacción y complementación de los diferentes actores sociales (Hernández Juárez, José y Pérez Cervantes, Baltazar, 2015).</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De esta manera, la administración pública municipal 2015-2018 estima indispensable mejorar la gestión de los servicios públicos y la evaluación social en la prestación de los mismos. </w:t>
      </w:r>
    </w:p>
    <w:p w:rsidR="0022687E" w:rsidRPr="0022687E" w:rsidRDefault="0022687E" w:rsidP="0022687E">
      <w:pPr>
        <w:numPr>
          <w:ilvl w:val="1"/>
          <w:numId w:val="43"/>
        </w:numPr>
        <w:spacing w:after="200" w:line="360" w:lineRule="auto"/>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Proyectos estratégicos</w:t>
      </w:r>
    </w:p>
    <w:p w:rsidR="0022687E" w:rsidRPr="006E1308"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A partir de los objetivos estratégicos descritos en el eje de desarrollo urbano sustentable, se desarrollan los proyectos que sirven para contribuir al alcance de aquéllos y que establecen las bases para el desarrollo de las actividades de la administración pública municipal durante el periodo 2015-2018.</w:t>
      </w:r>
      <w:r w:rsidRPr="006E1308">
        <w:rPr>
          <w:rFonts w:ascii="Arial" w:eastAsia="MS Mincho" w:hAnsi="Arial" w:cs="Arial"/>
          <w:sz w:val="22"/>
          <w:szCs w:val="22"/>
          <w:vertAlign w:val="superscript"/>
          <w:lang w:eastAsia="ja-JP"/>
        </w:rPr>
        <w:footnoteReference w:id="11"/>
      </w:r>
      <w:r w:rsidRPr="006E1308">
        <w:rPr>
          <w:rFonts w:ascii="Arial" w:eastAsia="MS Mincho" w:hAnsi="Arial" w:cs="Arial"/>
          <w:sz w:val="22"/>
          <w:szCs w:val="22"/>
          <w:lang w:eastAsia="ja-JP"/>
        </w:rPr>
        <w:t xml:space="preserve">  </w:t>
      </w:r>
    </w:p>
    <w:p w:rsidR="0022687E" w:rsidRPr="0022687E" w:rsidRDefault="0022687E" w:rsidP="0022687E">
      <w:pPr>
        <w:spacing w:after="200" w:line="360" w:lineRule="auto"/>
        <w:ind w:left="-567"/>
        <w:jc w:val="both"/>
        <w:rPr>
          <w:rFonts w:ascii="Arial" w:eastAsia="MS Mincho" w:hAnsi="Arial" w:cs="Arial"/>
          <w:b/>
          <w:color w:val="32C659"/>
          <w:sz w:val="32"/>
          <w:szCs w:val="32"/>
          <w:lang w:val="es-ES_tradnl" w:eastAsia="ja-JP"/>
        </w:rPr>
      </w:pPr>
      <w:r w:rsidRPr="0022687E">
        <w:rPr>
          <w:rFonts w:ascii="Arial" w:eastAsia="MS Mincho" w:hAnsi="Arial" w:cs="Arial"/>
          <w:b/>
          <w:noProof/>
          <w:color w:val="32C659"/>
          <w:sz w:val="32"/>
          <w:szCs w:val="32"/>
          <w:lang w:val="es-MX" w:eastAsia="es-MX"/>
        </w:rPr>
        <w:lastRenderedPageBreak/>
        <w:drawing>
          <wp:inline distT="0" distB="0" distL="0" distR="0" wp14:anchorId="7057277D" wp14:editId="5A92E616">
            <wp:extent cx="6302375" cy="4446905"/>
            <wp:effectExtent l="0" t="0" r="0" b="0"/>
            <wp:docPr id="2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02529" cy="4447014"/>
                    </a:xfrm>
                    <a:prstGeom prst="rect">
                      <a:avLst/>
                    </a:prstGeom>
                    <a:noFill/>
                    <a:ln>
                      <a:noFill/>
                    </a:ln>
                  </pic:spPr>
                </pic:pic>
              </a:graphicData>
            </a:graphic>
          </wp:inline>
        </w:drawing>
      </w:r>
    </w:p>
    <w:p w:rsidR="0022687E" w:rsidRPr="0022687E" w:rsidRDefault="0022687E" w:rsidP="0022687E">
      <w:pPr>
        <w:spacing w:after="200" w:line="360" w:lineRule="auto"/>
        <w:ind w:left="-567"/>
        <w:jc w:val="both"/>
        <w:rPr>
          <w:rFonts w:ascii="Arial" w:eastAsia="MS Mincho" w:hAnsi="Arial" w:cs="Arial"/>
          <w:b/>
          <w:color w:val="32C659"/>
          <w:sz w:val="32"/>
          <w:szCs w:val="32"/>
          <w:lang w:val="es-ES_tradnl" w:eastAsia="ja-JP"/>
        </w:rPr>
      </w:pPr>
      <w:r w:rsidRPr="0022687E">
        <w:rPr>
          <w:rFonts w:ascii="Arial" w:eastAsia="MS Mincho" w:hAnsi="Arial" w:cs="Arial"/>
          <w:b/>
          <w:noProof/>
          <w:color w:val="32C659"/>
          <w:sz w:val="32"/>
          <w:szCs w:val="32"/>
          <w:lang w:val="es-MX" w:eastAsia="es-MX"/>
        </w:rPr>
        <w:lastRenderedPageBreak/>
        <w:drawing>
          <wp:inline distT="0" distB="0" distL="0" distR="0" wp14:anchorId="03A3A1EA" wp14:editId="3787333F">
            <wp:extent cx="6302375" cy="6233795"/>
            <wp:effectExtent l="0" t="0" r="0" b="0"/>
            <wp:docPr id="21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02740" cy="6234157"/>
                    </a:xfrm>
                    <a:prstGeom prst="rect">
                      <a:avLst/>
                    </a:prstGeom>
                    <a:noFill/>
                    <a:ln>
                      <a:noFill/>
                    </a:ln>
                  </pic:spPr>
                </pic:pic>
              </a:graphicData>
            </a:graphic>
          </wp:inline>
        </w:drawing>
      </w:r>
    </w:p>
    <w:p w:rsidR="00375AB0" w:rsidRDefault="00375AB0" w:rsidP="00375AB0">
      <w:pPr>
        <w:spacing w:after="200" w:line="360" w:lineRule="auto"/>
        <w:ind w:left="720"/>
        <w:contextualSpacing/>
        <w:jc w:val="both"/>
        <w:rPr>
          <w:rFonts w:ascii="Arial" w:eastAsia="MS Mincho" w:hAnsi="Arial" w:cs="Arial"/>
          <w:b/>
          <w:color w:val="32C659"/>
          <w:sz w:val="32"/>
          <w:szCs w:val="32"/>
          <w:lang w:val="es-ES_tradnl" w:eastAsia="ja-JP"/>
        </w:rPr>
      </w:pPr>
    </w:p>
    <w:p w:rsidR="0022687E" w:rsidRPr="0022687E" w:rsidRDefault="0022687E" w:rsidP="0022687E">
      <w:pPr>
        <w:numPr>
          <w:ilvl w:val="1"/>
          <w:numId w:val="43"/>
        </w:numPr>
        <w:spacing w:after="200" w:line="360" w:lineRule="auto"/>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lastRenderedPageBreak/>
        <w:t>Metas e indicadores</w:t>
      </w:r>
    </w:p>
    <w:p w:rsidR="0022687E" w:rsidRPr="006E1308" w:rsidRDefault="0022687E" w:rsidP="0022687E">
      <w:pPr>
        <w:spacing w:after="200" w:line="360" w:lineRule="auto"/>
        <w:jc w:val="both"/>
        <w:rPr>
          <w:rFonts w:ascii="Arial" w:eastAsia="MS Mincho" w:hAnsi="Arial" w:cs="Arial"/>
          <w:b/>
          <w:color w:val="32C659"/>
          <w:sz w:val="22"/>
          <w:szCs w:val="22"/>
          <w:lang w:val="es-ES_tradnl" w:eastAsia="ja-JP"/>
        </w:rPr>
      </w:pPr>
      <w:r w:rsidRPr="006E1308">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desarrollo urbano sustentable y los indicadores que permitirán evaluar el alcance de las mismas.</w:t>
      </w:r>
    </w:p>
    <w:p w:rsidR="0022687E" w:rsidRPr="0022687E" w:rsidRDefault="0022687E" w:rsidP="0022687E">
      <w:pPr>
        <w:spacing w:after="200"/>
        <w:ind w:hanging="567"/>
        <w:rPr>
          <w:rFonts w:ascii="Arial" w:eastAsia="MS Mincho" w:hAnsi="Arial" w:cs="Arial"/>
          <w:lang w:val="es-ES_tradnl" w:eastAsia="ja-JP"/>
        </w:rPr>
      </w:pPr>
      <w:r w:rsidRPr="0022687E">
        <w:rPr>
          <w:rFonts w:ascii="Arial" w:eastAsia="MS Mincho" w:hAnsi="Arial" w:cs="Arial"/>
          <w:noProof/>
          <w:lang w:val="es-MX" w:eastAsia="es-MX"/>
        </w:rPr>
        <w:lastRenderedPageBreak/>
        <w:drawing>
          <wp:inline distT="0" distB="0" distL="0" distR="0" wp14:anchorId="0339D0D4" wp14:editId="5C0CFCA7">
            <wp:extent cx="6530975" cy="5989320"/>
            <wp:effectExtent l="0" t="0" r="0" b="5080"/>
            <wp:docPr id="21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31313" cy="5989630"/>
                    </a:xfrm>
                    <a:prstGeom prst="rect">
                      <a:avLst/>
                    </a:prstGeom>
                    <a:noFill/>
                    <a:ln>
                      <a:noFill/>
                    </a:ln>
                  </pic:spPr>
                </pic:pic>
              </a:graphicData>
            </a:graphic>
          </wp:inline>
        </w:drawing>
      </w:r>
      <w:r w:rsidRPr="0022687E">
        <w:rPr>
          <w:rFonts w:ascii="Arial" w:eastAsia="MS Mincho" w:hAnsi="Arial" w:cs="Arial"/>
          <w:lang w:val="es-ES_tradnl" w:eastAsia="ja-JP"/>
        </w:rPr>
        <w:br w:type="page"/>
      </w:r>
    </w:p>
    <w:p w:rsidR="0022687E" w:rsidRPr="0022687E" w:rsidRDefault="0022687E" w:rsidP="0022687E">
      <w:pPr>
        <w:spacing w:after="200" w:line="360" w:lineRule="auto"/>
        <w:jc w:val="both"/>
        <w:rPr>
          <w:rFonts w:ascii="Arial" w:eastAsia="MS Mincho" w:hAnsi="Arial" w:cs="Arial"/>
          <w:b/>
          <w:color w:val="008000"/>
          <w:sz w:val="40"/>
          <w:szCs w:val="40"/>
          <w:lang w:val="es-ES_tradnl" w:eastAsia="ja-JP"/>
        </w:rPr>
      </w:pPr>
      <w:r w:rsidRPr="0022687E">
        <w:rPr>
          <w:rFonts w:ascii="Arial" w:eastAsia="MS Mincho" w:hAnsi="Arial" w:cs="Arial"/>
          <w:b/>
          <w:color w:val="008000"/>
          <w:sz w:val="72"/>
          <w:szCs w:val="72"/>
          <w:lang w:val="es-ES_tradnl" w:eastAsia="ja-JP"/>
        </w:rPr>
        <w:lastRenderedPageBreak/>
        <w:t xml:space="preserve">6 </w:t>
      </w:r>
      <w:r w:rsidRPr="0022687E">
        <w:rPr>
          <w:rFonts w:ascii="Arial" w:eastAsia="MS Mincho" w:hAnsi="Arial" w:cs="Arial"/>
          <w:b/>
          <w:color w:val="008000"/>
          <w:sz w:val="40"/>
          <w:szCs w:val="40"/>
          <w:lang w:val="es-ES_tradnl" w:eastAsia="ja-JP"/>
        </w:rPr>
        <w:t>DESARROLLO ECONÓMICO</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 xml:space="preserve">El Municipio, como orden de gobierno más cercano a la sociedad, debe promover el desarrollo, entendido como construcción de capacidades y derechos de las personas. </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 xml:space="preserve">Por lo tanto, la administración pública municipal debe constituirse como una unidad de planificación, de diseño de estrategias e implementación de proyectos en base a los recursos, necesidades e iniciativas locales. </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 xml:space="preserve">Este proceso incorpora las dinámicas del desarrollo sectorial, funcional y territorial que se emprendan desde el ámbito federal y estatal, desde las organizaciones sociales y de la empresa privada en el Municipio. </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El desarrollo local es integral, por lo que debe permitir y favorecer el crecimiento económico, la democracia política y el progreso social, de modo que se vaya alcanzando el desarrollo humano sostenible. En la medida que es un esfuerzo organizado de toda la sociedad local será necesario un fuerte liderazgo que deberá asumir el gobierno municipal (ROJAS, 2006).</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spacing w:after="200" w:line="360" w:lineRule="auto"/>
        <w:ind w:firstLine="426"/>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6.1. Demandas ciudadanas</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w:t>
      </w:r>
      <w:proofErr w:type="gramStart"/>
      <w:r w:rsidRPr="006E1308">
        <w:rPr>
          <w:rFonts w:ascii="Arial" w:eastAsia="MS Mincho" w:hAnsi="Arial" w:cs="Arial"/>
          <w:sz w:val="22"/>
          <w:szCs w:val="22"/>
          <w:lang w:val="es-ES_tradnl" w:eastAsia="ja-JP"/>
        </w:rPr>
        <w:t>del</w:t>
      </w:r>
      <w:proofErr w:type="gramEnd"/>
      <w:r w:rsidRPr="006E1308">
        <w:rPr>
          <w:rFonts w:ascii="Arial" w:eastAsia="MS Mincho" w:hAnsi="Arial" w:cs="Arial"/>
          <w:sz w:val="22"/>
          <w:szCs w:val="22"/>
          <w:lang w:val="es-ES_tradnl" w:eastAsia="ja-JP"/>
        </w:rPr>
        <w:t xml:space="preserve"> población respecto a las soluciones y alternativas del Municipio para contribuir al desarrollo económico de la ciudad.</w:t>
      </w:r>
    </w:p>
    <w:p w:rsidR="0022687E" w:rsidRPr="0022687E" w:rsidRDefault="0022687E" w:rsidP="0022687E">
      <w:pPr>
        <w:spacing w:after="200" w:line="360" w:lineRule="auto"/>
        <w:jc w:val="both"/>
        <w:rPr>
          <w:rFonts w:ascii="Arial" w:eastAsia="MS Mincho" w:hAnsi="Arial" w:cs="Arial"/>
          <w:b/>
          <w:color w:val="008000"/>
          <w:sz w:val="32"/>
          <w:szCs w:val="32"/>
          <w:lang w:val="es-ES_tradnl" w:eastAsia="ja-JP"/>
        </w:rPr>
      </w:pPr>
      <w:r w:rsidRPr="0022687E">
        <w:rPr>
          <w:rFonts w:ascii="Arial" w:eastAsia="MS Mincho" w:hAnsi="Arial" w:cs="Arial"/>
          <w:b/>
          <w:noProof/>
          <w:color w:val="008000"/>
          <w:sz w:val="32"/>
          <w:szCs w:val="32"/>
          <w:lang w:val="es-MX" w:eastAsia="es-MX"/>
        </w:rPr>
        <w:lastRenderedPageBreak/>
        <w:drawing>
          <wp:inline distT="0" distB="0" distL="0" distR="0" wp14:anchorId="0310361B" wp14:editId="1FF84F46">
            <wp:extent cx="5396230" cy="2398583"/>
            <wp:effectExtent l="0" t="0" r="0" b="0"/>
            <wp:docPr id="2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96230" cy="2398583"/>
                    </a:xfrm>
                    <a:prstGeom prst="rect">
                      <a:avLst/>
                    </a:prstGeom>
                    <a:noFill/>
                    <a:ln>
                      <a:noFill/>
                    </a:ln>
                  </pic:spPr>
                </pic:pic>
              </a:graphicData>
            </a:graphic>
          </wp:inline>
        </w:drawing>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Además, los expertos y ciudadanos que nos acompañaron en el foro de participación, señalaron aspectos importantes a incorporar en este Plan Municipal de Desarrollo 2015-2018, dentro de los cuales podemos destacar: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Que el municipio se convierta en un gestor del desarrollo, a través de la agilización y tecnificación de trámites, la transparencia y la rendición de cuentas y la incorporación de mejores prácticas nacionales e internacionales.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Ampliar la cobertura de la difusión de la ciudad de Monterrey para la atracción turística, la integración con los municipios vecinos como un destino para el ecoturismo, desarrollar actividades culturales y naturales en el Municipio y aprovechar el primer cuadro de Monterrey.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Proveer de capacitación para el empleo y emprendedores en coordinación con las instituciones académicas, empresas y otras secretarías.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Desarrollar ferias  y brigadas de empleo especializadas y focalizadas. </w:t>
      </w:r>
    </w:p>
    <w:p w:rsidR="0022687E" w:rsidRDefault="0022687E" w:rsidP="0022687E">
      <w:pPr>
        <w:spacing w:after="200" w:line="360" w:lineRule="auto"/>
        <w:ind w:left="360"/>
        <w:jc w:val="both"/>
        <w:rPr>
          <w:rFonts w:ascii="Arial" w:eastAsia="MS Mincho" w:hAnsi="Arial" w:cs="Arial"/>
          <w:lang w:val="es-ES_tradnl" w:eastAsia="ja-JP"/>
        </w:rPr>
      </w:pPr>
    </w:p>
    <w:p w:rsidR="006E1308" w:rsidRDefault="006E1308" w:rsidP="0022687E">
      <w:pPr>
        <w:spacing w:after="200" w:line="360" w:lineRule="auto"/>
        <w:ind w:left="360"/>
        <w:jc w:val="both"/>
        <w:rPr>
          <w:rFonts w:ascii="Arial" w:eastAsia="MS Mincho" w:hAnsi="Arial" w:cs="Arial"/>
          <w:lang w:val="es-ES_tradnl" w:eastAsia="ja-JP"/>
        </w:rPr>
      </w:pPr>
    </w:p>
    <w:p w:rsidR="006E1308" w:rsidRPr="0022687E" w:rsidRDefault="006E1308" w:rsidP="0022687E">
      <w:pPr>
        <w:spacing w:after="200" w:line="360" w:lineRule="auto"/>
        <w:ind w:left="360"/>
        <w:jc w:val="both"/>
        <w:rPr>
          <w:rFonts w:ascii="Arial" w:eastAsia="MS Mincho" w:hAnsi="Arial" w:cs="Arial"/>
          <w:lang w:val="es-ES_tradnl" w:eastAsia="ja-JP"/>
        </w:rPr>
      </w:pPr>
    </w:p>
    <w:p w:rsidR="0022687E" w:rsidRPr="0022687E" w:rsidRDefault="0022687E" w:rsidP="0022687E">
      <w:pPr>
        <w:spacing w:after="200" w:line="360" w:lineRule="auto"/>
        <w:ind w:firstLine="426"/>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lastRenderedPageBreak/>
        <w:t>6.2. Objetivos estratégicos</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Con el objeto de alcanzar un desarrollo económico sostenible del Municipio de Monterrey y que tenga un impacto en el bienestar de la sociedad, se plantean los siguientes objetivos estratégicos, sobre los cuales se definen y diseñan las estrategias a desarrollar por esta administración pública municipal 2015-2018. </w:t>
      </w:r>
    </w:p>
    <w:p w:rsidR="0022687E" w:rsidRPr="0022687E" w:rsidRDefault="0022687E" w:rsidP="0022687E">
      <w:pPr>
        <w:spacing w:after="200" w:line="360" w:lineRule="auto"/>
        <w:jc w:val="both"/>
        <w:rPr>
          <w:rFonts w:ascii="Arial" w:eastAsia="MS Mincho" w:hAnsi="Arial" w:cs="Arial"/>
          <w:b/>
          <w:color w:val="1F497D"/>
          <w:sz w:val="40"/>
          <w:szCs w:val="40"/>
          <w:lang w:val="es-ES_tradnl" w:eastAsia="ja-JP"/>
        </w:rPr>
      </w:pPr>
      <w:r w:rsidRPr="0022687E">
        <w:rPr>
          <w:rFonts w:ascii="Arial" w:eastAsia="MS Mincho" w:hAnsi="Arial" w:cs="Arial"/>
          <w:b/>
          <w:noProof/>
          <w:lang w:val="es-MX" w:eastAsia="es-MX"/>
        </w:rPr>
        <w:drawing>
          <wp:inline distT="0" distB="0" distL="0" distR="0" wp14:anchorId="614E486F" wp14:editId="133DA36B">
            <wp:extent cx="4639522" cy="2262928"/>
            <wp:effectExtent l="0" t="19050" r="0" b="80645"/>
            <wp:docPr id="214" name="Diagrama 2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6.2.1. Fomento y desarrollo empresarial</w:t>
      </w:r>
    </w:p>
    <w:p w:rsidR="0022687E" w:rsidRPr="0022687E" w:rsidRDefault="0022687E" w:rsidP="0022687E">
      <w:pPr>
        <w:spacing w:after="200" w:line="360" w:lineRule="auto"/>
        <w:jc w:val="both"/>
        <w:rPr>
          <w:rFonts w:ascii="Arial" w:eastAsia="MS Mincho" w:hAnsi="Arial" w:cs="Arial"/>
          <w:color w:val="008000"/>
          <w:lang w:val="es-ES_tradnl" w:eastAsia="ja-JP"/>
        </w:rPr>
      </w:pPr>
      <w:r w:rsidRPr="0022687E">
        <w:rPr>
          <w:rFonts w:ascii="Arial" w:eastAsia="MS Mincho" w:hAnsi="Arial" w:cs="Arial"/>
          <w:i/>
          <w:color w:val="008000"/>
          <w:lang w:val="es-ES_tradnl" w:eastAsia="ja-JP"/>
        </w:rPr>
        <w:t>Proveer asesoría técnica y especializada a los emprendedores de la ciudad para que puedan realizar una planeación adecuada de sus proyectos a través de una incubadora de negocios y el seguimiento post incubación, así como la asistencia y agilización de trámites administrativos</w:t>
      </w:r>
      <w:r w:rsidRPr="0022687E">
        <w:rPr>
          <w:rFonts w:ascii="Arial" w:eastAsia="MS Mincho" w:hAnsi="Arial" w:cs="Arial"/>
          <w:color w:val="008000"/>
          <w:lang w:val="es-ES_tradnl" w:eastAsia="ja-JP"/>
        </w:rPr>
        <w:t>.</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Proveer asesoría técnica y especializada a los emprendedores de la ciudad para que puedan realizar una planeación adecuada de sus proyectos a través de una incubadora de negocios y el seguimiento post-incubación, así como la asistencia y agilización de trámites administrativos.</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lastRenderedPageBreak/>
        <w:t>Las micro, pequeñas y medianas empresas (PYMES) representan una pieza clave de la economía en nuestro país por ser generadoras de una gran cantidad de empleos y por el impacto que éstas tienen en la producción local y nacional.</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Por la importancia y el impacto que tienen las PYMES en la economía, es necesario impulsar su creación y desarrollo. Brindar apoyo a los emprendedores de la ciudad a través de programas de asesoría técnica y seguimiento es indispensable para propiciar el desarrollo de nuevas unidades económicas productivas y exitosas, así como para fomentar el crecimiento de las ya existentes.</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 xml:space="preserve">La planeación de un proyecto es el punto clave para todo negocio exitoso, por lo que es </w:t>
      </w:r>
      <w:proofErr w:type="gramStart"/>
      <w:r w:rsidRPr="006E1308">
        <w:rPr>
          <w:rFonts w:ascii="Arial" w:eastAsia="MS Mincho" w:hAnsi="Arial" w:cs="Arial"/>
          <w:color w:val="000000"/>
          <w:sz w:val="22"/>
          <w:szCs w:val="22"/>
          <w:lang w:val="es-ES_tradnl"/>
        </w:rPr>
        <w:t>necesario</w:t>
      </w:r>
      <w:proofErr w:type="gramEnd"/>
      <w:r w:rsidRPr="006E1308">
        <w:rPr>
          <w:rFonts w:ascii="Arial" w:eastAsia="MS Mincho" w:hAnsi="Arial" w:cs="Arial"/>
          <w:color w:val="000000"/>
          <w:sz w:val="22"/>
          <w:szCs w:val="22"/>
          <w:lang w:val="es-ES_tradnl"/>
        </w:rPr>
        <w:t xml:space="preserve"> que ésta sea realizada de la mejor manera tomando en cuenta las necesidades específicas que tiene cada emprendedor y el proyecto que desean desarrollar. Es por esto que para impulsar el fomento y desarrollo de empresas y negocios en la ciudad, convertimos en nuestra misión brindar a las personas que buscan generar o expandir su negocio con una asesoría de calidad que cubra todas las necesidades y aspectos del proyecto a desarrollar, cuidando e impulsando la visión y los objetivos del emprendedor para que éste pueda planear y concretar de manera eficaz su proyecto. Lo anterior será posible a través de una incubadora de negocios, donde se analizará y se gestará cada proyecto.</w:t>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6.2.2. Inversión</w:t>
      </w:r>
    </w:p>
    <w:p w:rsidR="0022687E" w:rsidRPr="0022687E" w:rsidRDefault="0022687E" w:rsidP="0022687E">
      <w:pPr>
        <w:spacing w:after="200" w:line="360" w:lineRule="auto"/>
        <w:jc w:val="both"/>
        <w:rPr>
          <w:rFonts w:ascii="Arial" w:eastAsia="MS Mincho" w:hAnsi="Arial" w:cs="Arial"/>
          <w:color w:val="008000"/>
          <w:lang w:val="es-ES_tradnl" w:eastAsia="ja-JP"/>
        </w:rPr>
      </w:pPr>
      <w:r w:rsidRPr="0022687E">
        <w:rPr>
          <w:rFonts w:ascii="Arial" w:eastAsia="MS Mincho" w:hAnsi="Arial" w:cs="Arial"/>
          <w:i/>
          <w:color w:val="008000"/>
          <w:lang w:val="es-ES_tradnl" w:eastAsia="ja-JP"/>
        </w:rPr>
        <w:t>Favorecer la inversión a través de la generación de confianza para los inversores, así como condiciones para el desarrollo económico de la ciudad</w:t>
      </w:r>
      <w:r w:rsidRPr="0022687E">
        <w:rPr>
          <w:rFonts w:ascii="Arial" w:eastAsia="MS Mincho" w:hAnsi="Arial" w:cs="Arial"/>
          <w:color w:val="008000"/>
          <w:lang w:val="es-ES_tradnl" w:eastAsia="ja-JP"/>
        </w:rPr>
        <w:t>.</w:t>
      </w:r>
    </w:p>
    <w:p w:rsidR="0022687E" w:rsidRPr="006E1308" w:rsidRDefault="0022687E" w:rsidP="0022687E">
      <w:pPr>
        <w:spacing w:after="20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 xml:space="preserve">Monterrey es la capital de Nuevo León, estado fronterizo con ubicación logística ideal para negocios en el mercado de Norteamérica, mismo que –por su dinamismo, productividad laboral y diversidad industrial- ha atraído a más de 2,200 empresas extranjeras. Además, 10 de las 20 empresas más importantes de México tienen sede en </w:t>
      </w:r>
      <w:r w:rsidRPr="006E1308">
        <w:rPr>
          <w:rFonts w:ascii="Arial" w:eastAsia="MS Mincho" w:hAnsi="Arial" w:cs="Arial"/>
          <w:sz w:val="22"/>
          <w:szCs w:val="22"/>
          <w:lang w:eastAsia="ja-JP"/>
        </w:rPr>
        <w:lastRenderedPageBreak/>
        <w:t>Monterrey y el PIB de Nuevo León superó los 1.1 billones de pesos en 2013 (Secretaría de Economía [SE], 2015).</w:t>
      </w:r>
    </w:p>
    <w:p w:rsidR="0022687E" w:rsidRPr="006E1308" w:rsidRDefault="0022687E" w:rsidP="0022687E">
      <w:pPr>
        <w:spacing w:after="20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 xml:space="preserve">Es necesario impulsar la instalación de nuevas empresas para la generación de mejores empleos y la consolidación de una base tributaria de contribuyentes mayor. Para ello, es necesario que el municipio promueva acciones y medidas de carácter financiero y administrativo que fomente las actividades económicas de Monterrey y, a su vez, facilite el establecimiento de las inversiones. Esto permitirá que el municipio cuente con </w:t>
      </w:r>
      <w:r w:rsidRPr="006E1308">
        <w:rPr>
          <w:rFonts w:ascii="Arial" w:eastAsia="MS Mincho" w:hAnsi="Arial" w:cs="Arial"/>
          <w:sz w:val="22"/>
          <w:szCs w:val="22"/>
          <w:lang w:val="es-ES_tradnl" w:eastAsia="ja-JP"/>
        </w:rPr>
        <w:t>una fuerte ventaja competitiva.</w:t>
      </w:r>
    </w:p>
    <w:p w:rsidR="0022687E" w:rsidRPr="006E1308" w:rsidRDefault="0022687E" w:rsidP="0022687E">
      <w:pPr>
        <w:spacing w:after="20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Aunado a lo anterior, es importante señalar que el municipio debe allegarse de recursos financieros mediante los más diversos medios para restituirlos a la sociedad como bienes y servicios públicos. Dentro del sector de la actividad financiera, mediante la inversión, el municipio puede dotarse de recursos monetarios, mismos que sirven para la consecución de aquél de los grandes fines del Estado.</w:t>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6.2.3. Turismo</w:t>
      </w:r>
    </w:p>
    <w:p w:rsidR="0022687E" w:rsidRPr="0022687E" w:rsidRDefault="0022687E" w:rsidP="0022687E">
      <w:pPr>
        <w:shd w:val="clear" w:color="auto" w:fill="FFFFFF"/>
        <w:spacing w:after="324" w:line="338" w:lineRule="atLeast"/>
        <w:jc w:val="both"/>
        <w:rPr>
          <w:rFonts w:ascii="Calibri" w:eastAsia="Cambria" w:hAnsi="Calibri"/>
          <w:color w:val="008000"/>
          <w:lang w:val="es-ES_tradnl" w:eastAsia="es-ES_tradnl"/>
        </w:rPr>
      </w:pPr>
      <w:r w:rsidRPr="0022687E">
        <w:rPr>
          <w:rFonts w:ascii="Arial" w:eastAsia="Cambria" w:hAnsi="Arial" w:cs="Arial"/>
          <w:i/>
          <w:iCs/>
          <w:color w:val="008000"/>
          <w:lang w:val="es-ES_tradnl" w:eastAsia="es-ES_tradnl"/>
        </w:rPr>
        <w:t>Promover el desarrollo turístico local en sus distintas ramas, mediante el posicionamiento de Monterrey como una ciudad atractiva para los negocios, esparcimiento y entretenimiento en colaboración con el sector industrial dedicado a esta área de la economía</w:t>
      </w:r>
    </w:p>
    <w:p w:rsidR="0022687E" w:rsidRPr="006E1308" w:rsidRDefault="0022687E" w:rsidP="0022687E">
      <w:pPr>
        <w:shd w:val="clear" w:color="auto" w:fill="FFFFFF"/>
        <w:spacing w:after="324" w:line="338" w:lineRule="atLeast"/>
        <w:jc w:val="both"/>
        <w:rPr>
          <w:rFonts w:ascii="Calibri" w:eastAsia="Cambria" w:hAnsi="Calibri"/>
          <w:sz w:val="22"/>
          <w:szCs w:val="22"/>
          <w:lang w:val="es-ES_tradnl" w:eastAsia="es-ES_tradnl"/>
        </w:rPr>
      </w:pPr>
      <w:r w:rsidRPr="006E1308">
        <w:rPr>
          <w:rFonts w:ascii="Arial" w:eastAsia="Cambria" w:hAnsi="Arial" w:cs="Arial"/>
          <w:sz w:val="22"/>
          <w:szCs w:val="22"/>
          <w:lang w:val="es-ES_tradnl" w:eastAsia="es-ES_tradnl"/>
        </w:rPr>
        <w:t>Monterrey es una de las principales capitales no sólo de México, sino de Latinoamérica. Esto en sí mismo es un atractivo para que personas de otros lugares viajen con frecuencia a la ciudad.</w:t>
      </w:r>
    </w:p>
    <w:p w:rsidR="0022687E" w:rsidRPr="006E1308" w:rsidRDefault="0022687E" w:rsidP="0022687E">
      <w:pPr>
        <w:shd w:val="clear" w:color="auto" w:fill="FFFFFF"/>
        <w:spacing w:after="324" w:line="338" w:lineRule="atLeast"/>
        <w:jc w:val="both"/>
        <w:rPr>
          <w:rFonts w:ascii="Calibri" w:eastAsia="Cambria" w:hAnsi="Calibri"/>
          <w:sz w:val="22"/>
          <w:szCs w:val="22"/>
          <w:lang w:val="es-ES_tradnl" w:eastAsia="es-ES_tradnl"/>
        </w:rPr>
      </w:pPr>
      <w:r w:rsidRPr="006E1308">
        <w:rPr>
          <w:rFonts w:ascii="Arial" w:eastAsia="Cambria" w:hAnsi="Arial" w:cs="Arial"/>
          <w:sz w:val="22"/>
          <w:szCs w:val="22"/>
          <w:lang w:val="es-ES_tradnl" w:eastAsia="es-ES_tradnl"/>
        </w:rPr>
        <w:t>Sin embargo, la ciudad de Monterrey tiene mucho más que ofrecer. Tenemos atractivos restaurantes, museos, parques, lugares históricos, entre muchos otros. Lo que Monterrey necesita para convertirse en un centro importante para el turismo es la proyección adecuada. Que se le presente como lo que queremos que sea: un lugar seguro las veinticuatro horas del día con atracciones para los turistas de todas las edades.</w:t>
      </w:r>
    </w:p>
    <w:p w:rsidR="0022687E" w:rsidRPr="006E1308" w:rsidRDefault="0022687E" w:rsidP="0022687E">
      <w:pPr>
        <w:shd w:val="clear" w:color="auto" w:fill="FFFFFF"/>
        <w:spacing w:after="324" w:line="338" w:lineRule="atLeast"/>
        <w:jc w:val="both"/>
        <w:rPr>
          <w:rFonts w:ascii="Calibri" w:eastAsia="Cambria" w:hAnsi="Calibri"/>
          <w:sz w:val="22"/>
          <w:szCs w:val="22"/>
          <w:lang w:val="es-ES_tradnl" w:eastAsia="es-ES_tradnl"/>
        </w:rPr>
      </w:pPr>
      <w:r w:rsidRPr="006E1308">
        <w:rPr>
          <w:rFonts w:ascii="Arial" w:eastAsia="Cambria" w:hAnsi="Arial" w:cs="Arial"/>
          <w:sz w:val="22"/>
          <w:szCs w:val="22"/>
          <w:lang w:val="es-ES_tradnl" w:eastAsia="es-ES_tradnl"/>
        </w:rPr>
        <w:lastRenderedPageBreak/>
        <w:t>Para ello, se desarrollará una estrategia en una doble vía. Por una parte, el municipio llevará a cabo una intensa campaña de difusión para promocionar la ciudad y, por la otra, integrará un frente común con el sector industrial del turismo para garantizar todo el apoyo necesario y generar los incentivos que permitan hacer de este sector un detonante para el desarrollo económico de Monterrey. </w:t>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6.2.4. Empleo incluyente</w:t>
      </w:r>
    </w:p>
    <w:p w:rsidR="0022687E" w:rsidRPr="0022687E" w:rsidRDefault="0022687E" w:rsidP="0022687E">
      <w:pPr>
        <w:spacing w:after="200" w:line="360" w:lineRule="auto"/>
        <w:jc w:val="both"/>
        <w:rPr>
          <w:rFonts w:ascii="Arial" w:eastAsia="MS Mincho" w:hAnsi="Arial" w:cs="Arial"/>
          <w:i/>
          <w:color w:val="008000"/>
          <w:lang w:val="es-ES_tradnl" w:eastAsia="ja-JP"/>
        </w:rPr>
      </w:pPr>
      <w:r w:rsidRPr="0022687E">
        <w:rPr>
          <w:rFonts w:ascii="Arial" w:eastAsia="MS Mincho" w:hAnsi="Arial" w:cs="Arial"/>
          <w:i/>
          <w:color w:val="008000"/>
          <w:lang w:val="es-ES_tradnl" w:eastAsia="ja-JP"/>
        </w:rPr>
        <w:t xml:space="preserve">Gestionar y focalizar la oferta de empleo orientada a las circunstancias específicas de las personas, promoviendo la permanencia laboral sin discriminación y en igualdad de condiciones. </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Los centros de trabajo no sólo son generadores de empleo y riqueza, sino que participan en el desarrollo de las comunidades donde están insertos (Secretaría del Trabajo y Previsión Social [STPS], 2012). Al respecto, el municipio asume la responsabilidad social de adoptar estrategias y alternativas que permitan incluir laboralmente a personas en situación de vulnerabilidad.</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Esta adopción de criterios de responsabilidad social implica crear entornos favorables para la participación de las personas en situación de vulnerabilidad en el mercado laboral, sin discriminación y en igualdad de oportunidades. Asimismo, conlleva elaborar un diagnóstico y desarrollar un plan de acción que contemple aspectos de reclutamiento, selección, colocación, ambiente laboral, seguridad y salud. </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La gestión de ofertas de empleo que se adapten a la situación particular de las personas que tienen mayor dificultad para conseguirlo, es una estrategia que requiere la concientización de las distintas empresas y centros laborales del municipio sobre los obstáculos con los que se atraviesan estas personas que les impiden convertirse en agentes económicos activos, lo que tiene un impacto social y económico.</w:t>
      </w:r>
    </w:p>
    <w:p w:rsidR="0022687E" w:rsidRDefault="0022687E" w:rsidP="0022687E">
      <w:pPr>
        <w:spacing w:after="200"/>
        <w:jc w:val="both"/>
        <w:rPr>
          <w:rFonts w:ascii="Cambria" w:eastAsia="MS Mincho" w:hAnsi="Cambria"/>
          <w:lang w:val="es-ES_tradnl" w:eastAsia="ja-JP"/>
        </w:rPr>
      </w:pPr>
    </w:p>
    <w:p w:rsidR="009B310D" w:rsidRPr="0022687E" w:rsidRDefault="009B310D" w:rsidP="0022687E">
      <w:pPr>
        <w:spacing w:after="200"/>
        <w:jc w:val="both"/>
        <w:rPr>
          <w:rFonts w:ascii="Cambria" w:eastAsia="MS Mincho" w:hAnsi="Cambria"/>
          <w:lang w:val="es-ES_tradnl" w:eastAsia="ja-JP"/>
        </w:rPr>
      </w:pPr>
    </w:p>
    <w:p w:rsidR="0022687E" w:rsidRPr="0022687E" w:rsidRDefault="0022687E" w:rsidP="0022687E">
      <w:pPr>
        <w:spacing w:after="200" w:line="360" w:lineRule="auto"/>
        <w:ind w:firstLine="426"/>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6.3. Proyectos estratégicos</w:t>
      </w:r>
    </w:p>
    <w:p w:rsidR="0022687E" w:rsidRPr="006E1308"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 xml:space="preserve">A partir de los objetivos estratégicos descritos en el eje de desarrollo económico, se desarrollan los proyectos que sirven para contribuir al alcance de aquéllos y que establecen las bases para el desarrollo de las actividades de la administración pública municipal durante el periodo 2015-2018.  </w:t>
      </w:r>
      <w:r w:rsidRPr="006E1308">
        <w:rPr>
          <w:rFonts w:ascii="Arial" w:eastAsia="MS Mincho" w:hAnsi="Arial" w:cs="Arial"/>
          <w:sz w:val="22"/>
          <w:szCs w:val="22"/>
          <w:vertAlign w:val="superscript"/>
          <w:lang w:eastAsia="ja-JP"/>
        </w:rPr>
        <w:footnoteReference w:id="12"/>
      </w:r>
    </w:p>
    <w:p w:rsidR="0022687E" w:rsidRPr="0022687E" w:rsidRDefault="0022687E" w:rsidP="0022687E">
      <w:pPr>
        <w:widowControl w:val="0"/>
        <w:autoSpaceDE w:val="0"/>
        <w:autoSpaceDN w:val="0"/>
        <w:adjustRightInd w:val="0"/>
        <w:spacing w:after="240" w:line="360" w:lineRule="auto"/>
        <w:ind w:hanging="567"/>
        <w:jc w:val="both"/>
        <w:rPr>
          <w:rFonts w:ascii="Arial" w:eastAsia="MS Mincho" w:hAnsi="Arial" w:cs="Arial"/>
          <w:b/>
          <w:color w:val="008000"/>
          <w:sz w:val="32"/>
          <w:szCs w:val="32"/>
          <w:lang w:val="es-ES_tradnl" w:eastAsia="ja-JP"/>
        </w:rPr>
      </w:pPr>
      <w:r w:rsidRPr="0022687E">
        <w:rPr>
          <w:rFonts w:ascii="Arial" w:eastAsia="MS Mincho" w:hAnsi="Arial" w:cs="Arial"/>
          <w:b/>
          <w:noProof/>
          <w:color w:val="008000"/>
          <w:sz w:val="32"/>
          <w:szCs w:val="32"/>
          <w:lang w:val="es-MX" w:eastAsia="es-MX"/>
        </w:rPr>
        <w:lastRenderedPageBreak/>
        <w:drawing>
          <wp:inline distT="0" distB="0" distL="0" distR="0" wp14:anchorId="72054FB4" wp14:editId="50CFA7A6">
            <wp:extent cx="5465835" cy="6992415"/>
            <wp:effectExtent l="0" t="0" r="1905" b="0"/>
            <wp:docPr id="2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70741" cy="6998691"/>
                    </a:xfrm>
                    <a:prstGeom prst="rect">
                      <a:avLst/>
                    </a:prstGeom>
                    <a:noFill/>
                    <a:ln>
                      <a:noFill/>
                    </a:ln>
                  </pic:spPr>
                </pic:pic>
              </a:graphicData>
            </a:graphic>
          </wp:inline>
        </w:drawing>
      </w:r>
    </w:p>
    <w:p w:rsidR="0022687E" w:rsidRPr="0022687E" w:rsidRDefault="0022687E" w:rsidP="00BA6D82">
      <w:pPr>
        <w:spacing w:after="200"/>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lastRenderedPageBreak/>
        <w:t>6.4. Metas e indicadores</w:t>
      </w:r>
    </w:p>
    <w:p w:rsidR="0022687E" w:rsidRPr="006E1308" w:rsidRDefault="0022687E" w:rsidP="0022687E">
      <w:pPr>
        <w:widowControl w:val="0"/>
        <w:autoSpaceDE w:val="0"/>
        <w:autoSpaceDN w:val="0"/>
        <w:adjustRightInd w:val="0"/>
        <w:spacing w:after="240" w:line="360" w:lineRule="auto"/>
        <w:jc w:val="both"/>
        <w:rPr>
          <w:rFonts w:ascii="Times" w:eastAsia="MS Mincho" w:hAnsi="Times" w:cs="Times"/>
          <w:sz w:val="22"/>
          <w:szCs w:val="22"/>
          <w:lang w:eastAsia="ja-JP"/>
        </w:rPr>
      </w:pPr>
      <w:r w:rsidRPr="006E1308">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desarrollo económico y los indicadores que permitirán evaluar el alcance de las mismas.</w:t>
      </w:r>
    </w:p>
    <w:p w:rsidR="0022687E" w:rsidRPr="0022687E" w:rsidRDefault="0022687E" w:rsidP="0022687E">
      <w:pPr>
        <w:spacing w:after="200"/>
        <w:ind w:hanging="567"/>
        <w:jc w:val="both"/>
        <w:rPr>
          <w:rFonts w:ascii="Cambria" w:eastAsia="MS Mincho" w:hAnsi="Cambria"/>
          <w:lang w:val="es-ES_tradnl" w:eastAsia="ja-JP"/>
        </w:rPr>
      </w:pPr>
      <w:r w:rsidRPr="0022687E">
        <w:rPr>
          <w:rFonts w:ascii="Cambria" w:eastAsia="MS Mincho" w:hAnsi="Cambria"/>
          <w:noProof/>
          <w:lang w:val="es-MX" w:eastAsia="es-MX"/>
        </w:rPr>
        <w:drawing>
          <wp:inline distT="0" distB="0" distL="0" distR="0" wp14:anchorId="07798B0B" wp14:editId="5CD7D553">
            <wp:extent cx="6302375" cy="5278120"/>
            <wp:effectExtent l="0" t="0" r="0" b="5080"/>
            <wp:docPr id="21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02992" cy="5278637"/>
                    </a:xfrm>
                    <a:prstGeom prst="rect">
                      <a:avLst/>
                    </a:prstGeom>
                    <a:noFill/>
                    <a:ln>
                      <a:noFill/>
                    </a:ln>
                  </pic:spPr>
                </pic:pic>
              </a:graphicData>
            </a:graphic>
          </wp:inline>
        </w:drawing>
      </w:r>
    </w:p>
    <w:p w:rsidR="0022687E" w:rsidRPr="00665F63" w:rsidRDefault="0022687E" w:rsidP="0022687E">
      <w:pPr>
        <w:spacing w:after="200"/>
        <w:rPr>
          <w:rFonts w:ascii="Arial" w:eastAsia="MS Mincho" w:hAnsi="Arial" w:cs="Arial"/>
          <w:b/>
          <w:color w:val="C0504D"/>
          <w:sz w:val="32"/>
          <w:szCs w:val="40"/>
          <w:lang w:val="es-ES_tradnl" w:eastAsia="ja-JP"/>
        </w:rPr>
      </w:pPr>
      <w:r w:rsidRPr="0022687E">
        <w:rPr>
          <w:rFonts w:ascii="Cambria" w:eastAsia="MS Mincho" w:hAnsi="Cambria"/>
          <w:b/>
          <w:lang w:eastAsia="ja-JP"/>
        </w:rPr>
        <w:br w:type="page"/>
      </w:r>
      <w:r w:rsidRPr="00665F63">
        <w:rPr>
          <w:rFonts w:ascii="Arial" w:eastAsia="MS Mincho" w:hAnsi="Arial" w:cs="Arial"/>
          <w:b/>
          <w:color w:val="C0504D"/>
          <w:sz w:val="32"/>
          <w:szCs w:val="40"/>
          <w:lang w:val="es-ES_tradnl" w:eastAsia="ja-JP"/>
        </w:rPr>
        <w:lastRenderedPageBreak/>
        <w:t>Bibliografía</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Constitución Política de los Estados Unidos Mexicanos</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Constitución Política del Estado Libre y Soberano de Nuevo León</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Ley de Gobierno Municipal del Estado de Nuevo León.</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ALANÍS, Ricardo. (2014). </w:t>
      </w:r>
      <w:r w:rsidRPr="00665F63">
        <w:rPr>
          <w:rFonts w:ascii="Arial" w:eastAsia="MS Mincho" w:hAnsi="Arial" w:cs="Arial"/>
          <w:i/>
          <w:sz w:val="20"/>
          <w:lang w:eastAsia="ja-JP"/>
        </w:rPr>
        <w:t>Aprueban licitación para compra de lámparas en Monterrey.</w:t>
      </w:r>
      <w:r w:rsidRPr="00665F63">
        <w:rPr>
          <w:rFonts w:ascii="Arial" w:eastAsia="MS Mincho" w:hAnsi="Arial" w:cs="Arial"/>
          <w:sz w:val="20"/>
          <w:lang w:eastAsia="ja-JP"/>
        </w:rPr>
        <w:t xml:space="preserve"> En: </w:t>
      </w:r>
      <w:r w:rsidRPr="00665F63">
        <w:rPr>
          <w:rFonts w:ascii="Arial" w:eastAsia="MS Mincho" w:hAnsi="Arial" w:cs="Arial"/>
          <w:i/>
          <w:sz w:val="20"/>
          <w:lang w:eastAsia="ja-JP"/>
        </w:rPr>
        <w:t>Política</w:t>
      </w:r>
      <w:r w:rsidRPr="00665F63">
        <w:rPr>
          <w:rFonts w:ascii="Arial" w:eastAsia="MS Mincho" w:hAnsi="Arial" w:cs="Arial"/>
          <w:sz w:val="20"/>
          <w:lang w:eastAsia="ja-JP"/>
        </w:rPr>
        <w:t xml:space="preserve">. Consultado en diciembre 21, 2015, de </w:t>
      </w:r>
      <w:hyperlink r:id="rId94" w:history="1">
        <w:r w:rsidRPr="00665F63">
          <w:rPr>
            <w:rFonts w:ascii="Arial" w:eastAsia="MS Mincho" w:hAnsi="Arial" w:cs="Arial"/>
            <w:sz w:val="20"/>
            <w:lang w:eastAsia="ja-JP"/>
          </w:rPr>
          <w:t>http://www.milenio.com/politica/luminarias-lamparas_Monterrey-aprueban_licitacion_0_257974720.html</w:t>
        </w:r>
      </w:hyperlink>
      <w:r w:rsidRPr="00665F63">
        <w:rPr>
          <w:rFonts w:ascii="Arial" w:eastAsia="MS Mincho" w:hAnsi="Arial" w:cs="Arial"/>
          <w:sz w:val="20"/>
          <w:lang w:eastAsia="ja-JP"/>
        </w:rPr>
        <w:t>.</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val="es-ES_tradnl" w:eastAsia="ja-JP"/>
        </w:rPr>
        <w:t xml:space="preserve">ARAIZA, Carlos, </w:t>
      </w:r>
      <w:r w:rsidRPr="00665F63">
        <w:rPr>
          <w:rFonts w:ascii="Arial" w:eastAsia="MS Mincho" w:hAnsi="Arial" w:cs="Arial"/>
          <w:i/>
          <w:sz w:val="20"/>
          <w:lang w:val="es-ES_tradnl" w:eastAsia="ja-JP"/>
        </w:rPr>
        <w:t xml:space="preserve">La discriminación en México: una mirada desde el análisis de políticas públicas, </w:t>
      </w:r>
      <w:r w:rsidRPr="00665F63">
        <w:rPr>
          <w:rFonts w:ascii="Arial" w:eastAsia="MS Mincho" w:hAnsi="Arial" w:cs="Arial"/>
          <w:sz w:val="20"/>
          <w:lang w:val="es-ES_tradnl" w:eastAsia="ja-JP"/>
        </w:rPr>
        <w:t>México, El Cotidiano, núm. 134, noviembre-diciembre, 2005, pp. 30-37.</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BUSSO, Gustavo, </w:t>
      </w:r>
      <w:r w:rsidRPr="00665F63">
        <w:rPr>
          <w:rFonts w:ascii="Arial" w:eastAsia="MS Mincho" w:hAnsi="Arial" w:cs="Arial"/>
          <w:i/>
          <w:sz w:val="20"/>
          <w:lang w:eastAsia="ja-JP"/>
        </w:rPr>
        <w:t xml:space="preserve">Vulnerabilidad social: Nociones e implicancias de políticas para Latinoamérica a inicios del siglo XXI. </w:t>
      </w:r>
      <w:r w:rsidRPr="00665F63">
        <w:rPr>
          <w:rFonts w:ascii="Arial" w:eastAsia="MS Mincho" w:hAnsi="Arial" w:cs="Arial"/>
          <w:sz w:val="20"/>
          <w:lang w:eastAsia="ja-JP"/>
        </w:rPr>
        <w:t>CEPAL, 2001, Consultado en diciembre 21, 2015, de http://www.cepal.org/publicaciones/xml/3/8283/GBusso.pdf.</w:t>
      </w:r>
    </w:p>
    <w:p w:rsidR="0022687E" w:rsidRPr="00665F63" w:rsidRDefault="0022687E" w:rsidP="0022687E">
      <w:pPr>
        <w:tabs>
          <w:tab w:val="left" w:pos="142"/>
        </w:tabs>
        <w:spacing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CARRILLO GAMBOA, Olivia, CANTÚ ESCALANTE, Jesús y SÁNCHEZ CABRIELES, Tomás. (2013). </w:t>
      </w:r>
      <w:r w:rsidRPr="00665F63">
        <w:rPr>
          <w:rFonts w:ascii="Arial" w:eastAsia="MS Mincho" w:hAnsi="Arial" w:cs="Arial"/>
          <w:i/>
          <w:sz w:val="20"/>
          <w:lang w:eastAsia="ja-JP"/>
        </w:rPr>
        <w:t>Indicadores de la Percepción Ciudadana de Seguridad en el Área Metropolitana de Monterrey.</w:t>
      </w:r>
      <w:r w:rsidRPr="00665F63">
        <w:rPr>
          <w:rFonts w:ascii="Arial" w:eastAsia="MS Mincho" w:hAnsi="Arial" w:cs="Arial"/>
          <w:sz w:val="20"/>
          <w:lang w:eastAsia="ja-JP"/>
        </w:rPr>
        <w:t xml:space="preserve"> CAINTRA.</w:t>
      </w:r>
      <w:r w:rsidRPr="00665F63">
        <w:rPr>
          <w:rFonts w:ascii="Arial" w:eastAsia="MS Mincho" w:hAnsi="Arial" w:cs="Arial"/>
          <w:i/>
          <w:sz w:val="20"/>
          <w:lang w:eastAsia="ja-JP"/>
        </w:rPr>
        <w:t xml:space="preserve"> </w:t>
      </w:r>
      <w:r w:rsidRPr="00665F63">
        <w:rPr>
          <w:rFonts w:ascii="Arial" w:eastAsia="MS Mincho" w:hAnsi="Arial" w:cs="Arial"/>
          <w:sz w:val="20"/>
          <w:lang w:eastAsia="ja-JP"/>
        </w:rPr>
        <w:t xml:space="preserve">Consultado en diciembre 21, 2015, de </w:t>
      </w:r>
      <w:hyperlink r:id="rId95" w:history="1">
        <w:r w:rsidRPr="00665F63">
          <w:rPr>
            <w:rFonts w:ascii="Arial" w:eastAsia="MS Mincho" w:hAnsi="Arial" w:cs="Arial"/>
            <w:sz w:val="20"/>
            <w:lang w:eastAsia="ja-JP"/>
          </w:rPr>
          <w:t>http://www.caintra.org.mx/boletin/2013/pulso/enero/Resultados.pdf</w:t>
        </w:r>
      </w:hyperlink>
    </w:p>
    <w:p w:rsidR="0022687E" w:rsidRPr="00665F63" w:rsidRDefault="0022687E" w:rsidP="0022687E">
      <w:pPr>
        <w:tabs>
          <w:tab w:val="left" w:pos="142"/>
        </w:tabs>
        <w:spacing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ESCOBAR, Jessica y JÍMENEZ, Salvador, Urbanismo y sustentabilidad: estado actual de desarrollo urbano de la ZMVM, México, Revista Digital Universitaria, 10 de julio de 2009, Vol. 10, No.7, disponible en: </w:t>
      </w:r>
      <w:hyperlink r:id="rId96" w:history="1">
        <w:r w:rsidRPr="00665F63">
          <w:rPr>
            <w:rFonts w:ascii="Arial" w:eastAsia="MS Mincho" w:hAnsi="Arial" w:cs="Arial"/>
            <w:sz w:val="20"/>
            <w:lang w:val="es-ES_tradnl" w:eastAsia="ja-JP"/>
          </w:rPr>
          <w:t>http://www.revista.unam.mx/vol.10/num7/art40/int40-1.htm</w:t>
        </w:r>
      </w:hyperlink>
      <w:r w:rsidRPr="00665F63">
        <w:rPr>
          <w:rFonts w:ascii="Arial" w:eastAsia="MS Mincho" w:hAnsi="Arial" w:cs="Arial"/>
          <w:sz w:val="20"/>
          <w:lang w:val="es-ES_tradnl" w:eastAsia="ja-JP"/>
        </w:rPr>
        <w:t>, fecha de consulta 10 de diciembre de 2015.</w:t>
      </w:r>
    </w:p>
    <w:p w:rsidR="0022687E" w:rsidRPr="00665F63" w:rsidRDefault="0022687E" w:rsidP="0022687E">
      <w:pPr>
        <w:tabs>
          <w:tab w:val="left" w:pos="142"/>
        </w:tabs>
        <w:spacing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GRINBERG, Silvia, </w:t>
      </w:r>
      <w:proofErr w:type="spellStart"/>
      <w:r w:rsidRPr="00665F63">
        <w:rPr>
          <w:rFonts w:ascii="Arial" w:eastAsia="MS Mincho" w:hAnsi="Arial" w:cs="Arial"/>
          <w:sz w:val="20"/>
          <w:lang w:val="es-ES_tradnl" w:eastAsia="ja-JP"/>
        </w:rPr>
        <w:t>Gubernamentalidad</w:t>
      </w:r>
      <w:proofErr w:type="spellEnd"/>
      <w:r w:rsidRPr="00665F63">
        <w:rPr>
          <w:rFonts w:ascii="Arial" w:eastAsia="MS Mincho" w:hAnsi="Arial" w:cs="Arial"/>
          <w:sz w:val="20"/>
          <w:lang w:val="es-ES_tradnl" w:eastAsia="ja-JP"/>
        </w:rPr>
        <w:t xml:space="preserve">: estudios y perspectivas, Revista Argentina de Sociología, vol. 5, núm. 8, Argentina, 2007, pp. 95-100. </w:t>
      </w:r>
    </w:p>
    <w:p w:rsidR="0022687E" w:rsidRPr="00665F63" w:rsidRDefault="0022687E" w:rsidP="0022687E">
      <w:pPr>
        <w:tabs>
          <w:tab w:val="left" w:pos="142"/>
        </w:tabs>
        <w:spacing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HERNÁNDEZ JUÁREZ, José y PÉREZ CERVANTES, Baltazar, </w:t>
      </w:r>
      <w:r w:rsidRPr="00665F63">
        <w:rPr>
          <w:rFonts w:ascii="Arial" w:hAnsi="Arial" w:cs="Arial"/>
          <w:sz w:val="20"/>
          <w:lang w:val="es-ES_tradnl"/>
        </w:rPr>
        <w:t xml:space="preserve">Gestión de los Servicios Públicos Municipales: Un Análisis de la Percepción Ciudadana, </w:t>
      </w:r>
      <w:proofErr w:type="spellStart"/>
      <w:r w:rsidRPr="00665F63">
        <w:rPr>
          <w:rFonts w:ascii="Arial" w:hAnsi="Arial" w:cs="Arial"/>
          <w:sz w:val="20"/>
          <w:lang w:val="es-ES_tradnl"/>
        </w:rPr>
        <w:t>Daena</w:t>
      </w:r>
      <w:proofErr w:type="spellEnd"/>
      <w:r w:rsidRPr="00665F63">
        <w:rPr>
          <w:rFonts w:ascii="Arial" w:hAnsi="Arial" w:cs="Arial"/>
          <w:sz w:val="20"/>
          <w:lang w:val="es-ES_tradnl"/>
        </w:rPr>
        <w:t xml:space="preserve">: International </w:t>
      </w:r>
      <w:proofErr w:type="spellStart"/>
      <w:r w:rsidRPr="00665F63">
        <w:rPr>
          <w:rFonts w:ascii="Arial" w:hAnsi="Arial" w:cs="Arial"/>
          <w:sz w:val="20"/>
          <w:lang w:val="es-ES_tradnl"/>
        </w:rPr>
        <w:t>Journal</w:t>
      </w:r>
      <w:proofErr w:type="spellEnd"/>
      <w:r w:rsidRPr="00665F63">
        <w:rPr>
          <w:rFonts w:ascii="Arial" w:hAnsi="Arial" w:cs="Arial"/>
          <w:sz w:val="20"/>
          <w:lang w:val="es-ES_tradnl"/>
        </w:rPr>
        <w:t xml:space="preserve"> of </w:t>
      </w:r>
      <w:proofErr w:type="spellStart"/>
      <w:r w:rsidRPr="00665F63">
        <w:rPr>
          <w:rFonts w:ascii="Arial" w:hAnsi="Arial" w:cs="Arial"/>
          <w:sz w:val="20"/>
          <w:lang w:val="es-ES_tradnl"/>
        </w:rPr>
        <w:t>Good</w:t>
      </w:r>
      <w:proofErr w:type="spellEnd"/>
      <w:r w:rsidRPr="00665F63">
        <w:rPr>
          <w:rFonts w:ascii="Arial" w:hAnsi="Arial" w:cs="Arial"/>
          <w:sz w:val="20"/>
          <w:lang w:val="es-ES_tradnl"/>
        </w:rPr>
        <w:t xml:space="preserve"> </w:t>
      </w:r>
      <w:proofErr w:type="spellStart"/>
      <w:r w:rsidRPr="00665F63">
        <w:rPr>
          <w:rFonts w:ascii="Arial" w:hAnsi="Arial" w:cs="Arial"/>
          <w:sz w:val="20"/>
          <w:lang w:val="es-ES_tradnl"/>
        </w:rPr>
        <w:t>Conscience</w:t>
      </w:r>
      <w:proofErr w:type="spellEnd"/>
      <w:r w:rsidRPr="00665F63">
        <w:rPr>
          <w:rFonts w:ascii="Arial" w:hAnsi="Arial" w:cs="Arial"/>
          <w:sz w:val="20"/>
          <w:lang w:val="es-ES_tradnl"/>
        </w:rPr>
        <w:t>, Octubre 2013</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MENDIETA, Eduardo. (2014). </w:t>
      </w:r>
      <w:r w:rsidRPr="00665F63">
        <w:rPr>
          <w:rFonts w:ascii="Arial" w:eastAsia="MS Mincho" w:hAnsi="Arial" w:cs="Arial"/>
          <w:i/>
          <w:sz w:val="20"/>
          <w:lang w:eastAsia="ja-JP"/>
        </w:rPr>
        <w:t>Basura de Monterrey, ahora de Red Recolector.</w:t>
      </w:r>
      <w:r w:rsidRPr="00665F63">
        <w:rPr>
          <w:rFonts w:ascii="Arial" w:eastAsia="MS Mincho" w:hAnsi="Arial" w:cs="Arial"/>
          <w:sz w:val="20"/>
          <w:lang w:eastAsia="ja-JP"/>
        </w:rPr>
        <w:t xml:space="preserve"> En: </w:t>
      </w:r>
      <w:r w:rsidRPr="00665F63">
        <w:rPr>
          <w:rFonts w:ascii="Arial" w:eastAsia="MS Mincho" w:hAnsi="Arial" w:cs="Arial"/>
          <w:i/>
          <w:sz w:val="20"/>
          <w:lang w:eastAsia="ja-JP"/>
        </w:rPr>
        <w:t>Región</w:t>
      </w:r>
      <w:r w:rsidRPr="00665F63">
        <w:rPr>
          <w:rFonts w:ascii="Arial" w:eastAsia="MS Mincho" w:hAnsi="Arial" w:cs="Arial"/>
          <w:sz w:val="20"/>
          <w:lang w:eastAsia="ja-JP"/>
        </w:rPr>
        <w:t>. Consultado en diciembre 21, 2015, de http://www.milenio.com/region/Basura-Monterrey-ahora-Red-Recolector_0_221977841.html.</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lastRenderedPageBreak/>
        <w:t xml:space="preserve">OSZLAK, Oscar, </w:t>
      </w:r>
      <w:r w:rsidRPr="00665F63">
        <w:rPr>
          <w:rFonts w:ascii="Arial" w:eastAsia="MS Mincho" w:hAnsi="Arial" w:cs="Arial"/>
          <w:i/>
          <w:sz w:val="20"/>
          <w:lang w:val="es-ES_tradnl" w:eastAsia="ja-JP"/>
        </w:rPr>
        <w:t xml:space="preserve">Gobierno abierto: hacia un nuevo paradigma de gestión pública, </w:t>
      </w:r>
      <w:r w:rsidRPr="00665F63">
        <w:rPr>
          <w:rFonts w:ascii="Arial" w:hAnsi="Arial" w:cs="Arial"/>
          <w:sz w:val="20"/>
          <w:lang w:val="es-ES_tradnl"/>
        </w:rPr>
        <w:t xml:space="preserve">Red de Gobierno Electrónico de América Latina y el Caribe – Red GEALC, Septiembre de 2013, disponible en: </w:t>
      </w:r>
      <w:hyperlink r:id="rId97" w:history="1">
        <w:r w:rsidRPr="00665F63">
          <w:rPr>
            <w:rFonts w:ascii="Arial" w:hAnsi="Arial" w:cs="Arial"/>
            <w:sz w:val="20"/>
            <w:lang w:val="es-ES_tradnl"/>
          </w:rPr>
          <w:t>www.oas.org/es/sap/dgpe/pub/coleccion5RG.pdf</w:t>
        </w:r>
      </w:hyperlink>
      <w:r w:rsidRPr="00665F63">
        <w:rPr>
          <w:rFonts w:ascii="Arial" w:hAnsi="Arial" w:cs="Arial"/>
          <w:sz w:val="20"/>
          <w:lang w:val="es-ES_tradnl"/>
        </w:rPr>
        <w:t xml:space="preserve">, fecha de consulta 15 de noviembre de 2015. </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PÉREZ CONTRERAS, María Monserrat, </w:t>
      </w:r>
      <w:r w:rsidRPr="00665F63">
        <w:rPr>
          <w:rFonts w:ascii="Arial" w:eastAsia="MS Mincho" w:hAnsi="Arial" w:cs="Arial"/>
          <w:i/>
          <w:sz w:val="20"/>
          <w:lang w:val="es-ES_tradnl" w:eastAsia="ja-JP"/>
        </w:rPr>
        <w:t xml:space="preserve">Aproximación a un estudio sobre vulnerabilidad y violencia familiar, </w:t>
      </w:r>
      <w:r w:rsidRPr="00665F63">
        <w:rPr>
          <w:rFonts w:ascii="Arial" w:eastAsia="MS Mincho" w:hAnsi="Arial" w:cs="Arial"/>
          <w:sz w:val="20"/>
          <w:lang w:val="es-ES_tradnl" w:eastAsia="ja-JP"/>
        </w:rPr>
        <w:t xml:space="preserve">México, Boletín Mexicano de Derecho Comparado, Núm. 113, 2011. Disponible en: </w:t>
      </w:r>
      <w:hyperlink r:id="rId98" w:history="1">
        <w:r w:rsidRPr="00665F63">
          <w:rPr>
            <w:rFonts w:ascii="Arial" w:eastAsia="MS Mincho" w:hAnsi="Arial" w:cs="Arial"/>
            <w:sz w:val="20"/>
            <w:lang w:val="es-ES_tradnl" w:eastAsia="ja-JP"/>
          </w:rPr>
          <w:t>http://www.juridicas.unam.mx/publica/rev/boletin/cont/113/art/art9.htm</w:t>
        </w:r>
      </w:hyperlink>
      <w:r w:rsidRPr="00665F63">
        <w:rPr>
          <w:rFonts w:ascii="Arial" w:eastAsia="MS Mincho" w:hAnsi="Arial" w:cs="Arial"/>
          <w:sz w:val="20"/>
          <w:lang w:val="es-ES_tradnl" w:eastAsia="ja-JP"/>
        </w:rPr>
        <w:t>, consultado 10 de diciembre de 2015.</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PLATAS, Arnoldo, </w:t>
      </w:r>
      <w:r w:rsidRPr="00665F63">
        <w:rPr>
          <w:rFonts w:ascii="Arial" w:eastAsia="MS Mincho" w:hAnsi="Arial" w:cs="Arial"/>
          <w:i/>
          <w:sz w:val="20"/>
          <w:lang w:val="es-ES_tradnl" w:eastAsia="ja-JP"/>
        </w:rPr>
        <w:t xml:space="preserve">Justicia Municipal, </w:t>
      </w:r>
      <w:r w:rsidRPr="00665F63">
        <w:rPr>
          <w:rFonts w:ascii="Arial" w:eastAsia="MS Mincho" w:hAnsi="Arial" w:cs="Arial"/>
          <w:sz w:val="20"/>
          <w:lang w:val="es-ES_tradnl" w:eastAsia="ja-JP"/>
        </w:rPr>
        <w:t>El municipio en México y el mundo, México, Universidad Nacional Autónoma de México, 2005, p. 335.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PRIETO-MARTÍN, Pedro; RAMÍREZ-ALUJAS, Álvaro, </w:t>
      </w:r>
      <w:r w:rsidRPr="00665F63">
        <w:rPr>
          <w:rFonts w:ascii="Arial" w:eastAsia="MS Mincho" w:hAnsi="Arial" w:cs="Arial"/>
          <w:i/>
          <w:sz w:val="20"/>
          <w:lang w:val="es-ES_tradnl" w:eastAsia="ja-JP"/>
        </w:rPr>
        <w:t>Caracterizando la participación ciudadana en el marco del Gobierno Abierto</w:t>
      </w:r>
      <w:r w:rsidRPr="00665F63">
        <w:rPr>
          <w:rFonts w:ascii="Arial" w:eastAsia="MS Mincho" w:hAnsi="Arial" w:cs="Arial"/>
          <w:sz w:val="20"/>
          <w:lang w:val="es-ES_tradnl" w:eastAsia="ja-JP"/>
        </w:rPr>
        <w:t>, Revista CLAD Reforma y Democracia, número 58, febrero 2014, pp.61-100</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hAnsi="Arial" w:cs="Arial"/>
          <w:sz w:val="20"/>
          <w:lang w:val="es-ES_tradnl"/>
        </w:rPr>
        <w:t>ROJAS MORAN, Luis Miguel Manual para la Gestión Municipal del Desarrollo Económico Local. Lima, OIT/Oficina Sub Regional para los Países Andinos, Proyecto Pres, 2006.</w:t>
      </w:r>
    </w:p>
    <w:p w:rsidR="0022687E" w:rsidRPr="00665F63" w:rsidRDefault="0022687E" w:rsidP="0022687E">
      <w:pPr>
        <w:tabs>
          <w:tab w:val="left" w:pos="142"/>
        </w:tabs>
        <w:spacing w:after="200" w:line="360" w:lineRule="auto"/>
        <w:ind w:left="567" w:hanging="567"/>
        <w:jc w:val="both"/>
        <w:rPr>
          <w:rFonts w:ascii="Arial" w:eastAsia="MS Mincho" w:hAnsi="Arial" w:cs="Arial"/>
          <w:noProof/>
          <w:sz w:val="20"/>
          <w:lang w:val="es-ES_tradnl" w:eastAsia="ja-JP"/>
        </w:rPr>
      </w:pPr>
      <w:r w:rsidRPr="00665F63">
        <w:rPr>
          <w:rFonts w:ascii="Arial" w:eastAsia="MS Mincho" w:hAnsi="Arial" w:cs="Arial"/>
          <w:noProof/>
          <w:sz w:val="20"/>
          <w:lang w:val="es-ES_tradnl" w:eastAsia="ja-JP"/>
        </w:rPr>
        <w:t xml:space="preserve">TORRES, Pedro y  SANTIAGO, Oscar, </w:t>
      </w:r>
      <w:r w:rsidRPr="00665F63">
        <w:rPr>
          <w:rFonts w:ascii="Arial" w:eastAsia="MS Mincho" w:hAnsi="Arial" w:cs="Arial"/>
          <w:i/>
          <w:iCs/>
          <w:noProof/>
          <w:sz w:val="20"/>
          <w:lang w:val="es-ES_tradnl" w:eastAsia="ja-JP"/>
        </w:rPr>
        <w:t xml:space="preserve">La Inteligencia en el Nuevo Sistema de Justicia Penal, </w:t>
      </w:r>
      <w:r w:rsidRPr="00665F63">
        <w:rPr>
          <w:rFonts w:ascii="Arial" w:eastAsia="MS Mincho" w:hAnsi="Arial" w:cs="Arial"/>
          <w:iCs/>
          <w:noProof/>
          <w:sz w:val="20"/>
          <w:lang w:val="es-ES_tradnl" w:eastAsia="ja-JP"/>
        </w:rPr>
        <w:t xml:space="preserve">México, </w:t>
      </w:r>
      <w:r w:rsidRPr="00665F63">
        <w:rPr>
          <w:rFonts w:ascii="Arial" w:eastAsia="MS Mincho" w:hAnsi="Arial" w:cs="Arial"/>
          <w:noProof/>
          <w:sz w:val="20"/>
          <w:lang w:val="es-ES_tradnl" w:eastAsia="ja-JP"/>
        </w:rPr>
        <w:t>INACIPE, 2015.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Asamblea General de Naciones Unidas, Plan Mundial para el Decenio de Acción para la Seguridad Vial 2011-2020, 2010, disponible en: </w:t>
      </w:r>
      <w:hyperlink r:id="rId99" w:history="1">
        <w:r w:rsidRPr="00665F63">
          <w:rPr>
            <w:rFonts w:ascii="Arial" w:eastAsia="MS Mincho" w:hAnsi="Arial" w:cs="Arial"/>
            <w:sz w:val="20"/>
            <w:lang w:val="es-ES_tradnl" w:eastAsia="ja-JP"/>
          </w:rPr>
          <w:t>http://www.who.int/roadsafety/decade_of_action/plan/spanish.pdf</w:t>
        </w:r>
      </w:hyperlink>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Comisión Interamericana de Derechos Humanos (CIDH), Estudio especial sobre el derecho de acceso a la información, Organización de Estados Americanos, 2007, Washington, D.C.,  disponible en: </w:t>
      </w:r>
      <w:hyperlink r:id="rId100" w:history="1">
        <w:r w:rsidRPr="00665F63">
          <w:rPr>
            <w:rFonts w:ascii="Arial" w:eastAsia="MS Mincho" w:hAnsi="Arial" w:cs="Arial"/>
            <w:sz w:val="20"/>
            <w:lang w:val="es-ES_tradnl" w:eastAsia="ja-JP"/>
          </w:rPr>
          <w:t>http://cidh.oas.org/relatoria/section/Estudio%20Especial%20sobre%20el%20derecho%20de%20Acceso%20a%20la%20Informacion.pdf</w:t>
        </w:r>
      </w:hyperlink>
      <w:r w:rsidRPr="00665F63">
        <w:rPr>
          <w:rFonts w:ascii="Arial" w:eastAsia="MS Mincho" w:hAnsi="Arial" w:cs="Arial"/>
          <w:sz w:val="20"/>
          <w:lang w:val="es-ES_tradnl" w:eastAsia="ja-JP"/>
        </w:rPr>
        <w:t>, fecha de consulta 6 de octubre de 2015.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Comisión Interamericana de Derechos Humanos (CIDH), </w:t>
      </w:r>
      <w:r w:rsidRPr="00665F63">
        <w:rPr>
          <w:rFonts w:ascii="Arial" w:eastAsia="MS Mincho" w:hAnsi="Arial" w:cs="Arial"/>
          <w:i/>
          <w:sz w:val="20"/>
          <w:lang w:val="es-ES_tradnl" w:eastAsia="ja-JP"/>
        </w:rPr>
        <w:t xml:space="preserve">Informe sobre seguridad ciudadana y derechos humanos, </w:t>
      </w:r>
      <w:r w:rsidRPr="00665F63">
        <w:rPr>
          <w:rFonts w:ascii="Arial" w:eastAsia="MS Mincho" w:hAnsi="Arial" w:cs="Arial"/>
          <w:sz w:val="20"/>
        </w:rPr>
        <w:t>OEA/</w:t>
      </w:r>
      <w:proofErr w:type="spellStart"/>
      <w:r w:rsidRPr="00665F63">
        <w:rPr>
          <w:rFonts w:ascii="Arial" w:eastAsia="MS Mincho" w:hAnsi="Arial" w:cs="Arial"/>
          <w:sz w:val="20"/>
        </w:rPr>
        <w:t>Ser.L</w:t>
      </w:r>
      <w:proofErr w:type="spellEnd"/>
      <w:r w:rsidRPr="00665F63">
        <w:rPr>
          <w:rFonts w:ascii="Arial" w:eastAsia="MS Mincho" w:hAnsi="Arial" w:cs="Arial"/>
          <w:sz w:val="20"/>
        </w:rPr>
        <w:t>/V/II.</w:t>
      </w:r>
      <w:r w:rsidRPr="00665F63">
        <w:rPr>
          <w:rFonts w:ascii="Arial" w:eastAsia="MS Mincho" w:hAnsi="Arial" w:cs="Arial"/>
          <w:sz w:val="20"/>
        </w:rPr>
        <w:br/>
      </w:r>
      <w:r w:rsidRPr="00665F63">
        <w:rPr>
          <w:rFonts w:ascii="Arial" w:eastAsia="MS Mincho" w:hAnsi="Arial" w:cs="Arial"/>
          <w:sz w:val="20"/>
        </w:rPr>
        <w:lastRenderedPageBreak/>
        <w:t xml:space="preserve">Doc. 57, 31 diciembre 2009, disponible en: </w:t>
      </w:r>
      <w:hyperlink r:id="rId101" w:history="1">
        <w:r w:rsidRPr="00665F63">
          <w:rPr>
            <w:rFonts w:ascii="Arial" w:eastAsia="MS Mincho" w:hAnsi="Arial" w:cs="Arial"/>
            <w:sz w:val="20"/>
          </w:rPr>
          <w:t>http://www.cidh.org/countryrep/Seguridad/seguridadindice.sp.htm</w:t>
        </w:r>
      </w:hyperlink>
      <w:r w:rsidRPr="00665F63">
        <w:rPr>
          <w:rFonts w:ascii="Arial" w:eastAsia="MS Mincho" w:hAnsi="Arial" w:cs="Arial"/>
          <w:sz w:val="20"/>
        </w:rPr>
        <w:t>, fecha de consulta 4 de enero de 2015.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Banco Mundial. (s. </w:t>
      </w:r>
      <w:proofErr w:type="gramStart"/>
      <w:r w:rsidRPr="00665F63">
        <w:rPr>
          <w:rFonts w:ascii="Arial" w:eastAsia="MS Mincho" w:hAnsi="Arial" w:cs="Arial"/>
          <w:sz w:val="20"/>
          <w:lang w:eastAsia="ja-JP"/>
        </w:rPr>
        <w:t>f</w:t>
      </w:r>
      <w:proofErr w:type="gramEnd"/>
      <w:r w:rsidRPr="00665F63">
        <w:rPr>
          <w:rFonts w:ascii="Arial" w:eastAsia="MS Mincho" w:hAnsi="Arial" w:cs="Arial"/>
          <w:sz w:val="20"/>
          <w:lang w:eastAsia="ja-JP"/>
        </w:rPr>
        <w:t xml:space="preserve">). Facilidad para hacer negocios en Monterrey-México. En: </w:t>
      </w:r>
      <w:r w:rsidRPr="00665F63">
        <w:rPr>
          <w:rFonts w:ascii="Arial" w:eastAsia="MS Mincho" w:hAnsi="Arial" w:cs="Arial"/>
          <w:i/>
          <w:sz w:val="20"/>
          <w:lang w:eastAsia="ja-JP"/>
        </w:rPr>
        <w:t>Datos</w:t>
      </w:r>
      <w:r w:rsidRPr="00665F63">
        <w:rPr>
          <w:rFonts w:ascii="Arial" w:eastAsia="MS Mincho" w:hAnsi="Arial" w:cs="Arial"/>
          <w:sz w:val="20"/>
          <w:lang w:eastAsia="ja-JP"/>
        </w:rPr>
        <w:t>. Consultado en diciembre 21, 2015, de http://espanol.doingbusiness.org/data/exploreeconomies/mexico/sub/monterrey/#enforcing-contracts.</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Banco Mundial. (2014). </w:t>
      </w:r>
      <w:proofErr w:type="spellStart"/>
      <w:r w:rsidRPr="00665F63">
        <w:rPr>
          <w:rFonts w:ascii="Arial" w:eastAsia="MS Mincho" w:hAnsi="Arial" w:cs="Arial"/>
          <w:i/>
          <w:sz w:val="20"/>
          <w:lang w:eastAsia="ja-JP"/>
        </w:rPr>
        <w:t>Doing</w:t>
      </w:r>
      <w:proofErr w:type="spellEnd"/>
      <w:r w:rsidRPr="00665F63">
        <w:rPr>
          <w:rFonts w:ascii="Arial" w:eastAsia="MS Mincho" w:hAnsi="Arial" w:cs="Arial"/>
          <w:i/>
          <w:sz w:val="20"/>
          <w:lang w:eastAsia="ja-JP"/>
        </w:rPr>
        <w:t xml:space="preserve"> </w:t>
      </w:r>
      <w:proofErr w:type="spellStart"/>
      <w:r w:rsidRPr="00665F63">
        <w:rPr>
          <w:rFonts w:ascii="Arial" w:eastAsia="MS Mincho" w:hAnsi="Arial" w:cs="Arial"/>
          <w:i/>
          <w:sz w:val="20"/>
          <w:lang w:eastAsia="ja-JP"/>
        </w:rPr>
        <w:t>Bussiness</w:t>
      </w:r>
      <w:proofErr w:type="spellEnd"/>
      <w:r w:rsidRPr="00665F63">
        <w:rPr>
          <w:rFonts w:ascii="Arial" w:eastAsia="MS Mincho" w:hAnsi="Arial" w:cs="Arial"/>
          <w:i/>
          <w:sz w:val="20"/>
          <w:lang w:eastAsia="ja-JP"/>
        </w:rPr>
        <w:t xml:space="preserve"> en México 2014. Entendiendo las regulaciones para las pequeñas y medianas empresas. </w:t>
      </w:r>
      <w:r w:rsidRPr="00665F63">
        <w:rPr>
          <w:rFonts w:ascii="Arial" w:eastAsia="MS Mincho" w:hAnsi="Arial" w:cs="Arial"/>
          <w:sz w:val="20"/>
          <w:lang w:eastAsia="ja-JP"/>
        </w:rPr>
        <w:t>Consultado en diciembre 21, 2015, de http://espanol.doingbusiness.org/~/media/GIAWB/Doing%20Business/Documents/Subnational-Reports/DB14-Mexico-spanish.pdf.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Banco Mundial. (2016). México. </w:t>
      </w:r>
      <w:r w:rsidRPr="0012229B">
        <w:rPr>
          <w:rFonts w:ascii="Arial" w:eastAsia="MS Mincho" w:hAnsi="Arial" w:cs="Arial"/>
          <w:sz w:val="20"/>
          <w:lang w:val="en-US" w:eastAsia="ja-JP"/>
        </w:rPr>
        <w:t xml:space="preserve">En: </w:t>
      </w:r>
      <w:r w:rsidRPr="0012229B">
        <w:rPr>
          <w:rFonts w:ascii="Arial" w:eastAsia="MS Mincho" w:hAnsi="Arial" w:cs="Arial"/>
          <w:i/>
          <w:sz w:val="20"/>
          <w:lang w:val="en-US" w:eastAsia="ja-JP"/>
        </w:rPr>
        <w:t xml:space="preserve">Doing Bussiness 2016. </w:t>
      </w:r>
      <w:proofErr w:type="gramStart"/>
      <w:r w:rsidRPr="00665F63">
        <w:rPr>
          <w:rFonts w:ascii="Arial" w:eastAsia="MS Mincho" w:hAnsi="Arial" w:cs="Arial"/>
          <w:i/>
          <w:sz w:val="20"/>
          <w:lang w:val="en-US" w:eastAsia="ja-JP"/>
        </w:rPr>
        <w:t>Measuring Regulatory Quality and Efficiency.</w:t>
      </w:r>
      <w:proofErr w:type="gramEnd"/>
      <w:r w:rsidRPr="00665F63">
        <w:rPr>
          <w:rFonts w:ascii="Arial" w:eastAsia="MS Mincho" w:hAnsi="Arial" w:cs="Arial"/>
          <w:i/>
          <w:sz w:val="20"/>
          <w:lang w:val="en-US" w:eastAsia="ja-JP"/>
        </w:rPr>
        <w:t xml:space="preserve"> </w:t>
      </w:r>
      <w:proofErr w:type="spellStart"/>
      <w:r w:rsidRPr="00665F63">
        <w:rPr>
          <w:rFonts w:ascii="Arial" w:eastAsia="MS Mincho" w:hAnsi="Arial" w:cs="Arial"/>
          <w:i/>
          <w:sz w:val="20"/>
          <w:lang w:eastAsia="ja-JP"/>
        </w:rPr>
        <w:t>Economy</w:t>
      </w:r>
      <w:proofErr w:type="spellEnd"/>
      <w:r w:rsidRPr="00665F63">
        <w:rPr>
          <w:rFonts w:ascii="Arial" w:eastAsia="MS Mincho" w:hAnsi="Arial" w:cs="Arial"/>
          <w:i/>
          <w:sz w:val="20"/>
          <w:lang w:eastAsia="ja-JP"/>
        </w:rPr>
        <w:t xml:space="preserve"> </w:t>
      </w:r>
      <w:proofErr w:type="spellStart"/>
      <w:r w:rsidRPr="00665F63">
        <w:rPr>
          <w:rFonts w:ascii="Arial" w:eastAsia="MS Mincho" w:hAnsi="Arial" w:cs="Arial"/>
          <w:i/>
          <w:sz w:val="20"/>
          <w:lang w:eastAsia="ja-JP"/>
        </w:rPr>
        <w:t>profile</w:t>
      </w:r>
      <w:proofErr w:type="spellEnd"/>
      <w:r w:rsidRPr="00665F63">
        <w:rPr>
          <w:rFonts w:ascii="Arial" w:eastAsia="MS Mincho" w:hAnsi="Arial" w:cs="Arial"/>
          <w:i/>
          <w:sz w:val="20"/>
          <w:lang w:eastAsia="ja-JP"/>
        </w:rPr>
        <w:t xml:space="preserve"> 2016. </w:t>
      </w:r>
      <w:r w:rsidRPr="00665F63">
        <w:rPr>
          <w:rFonts w:ascii="Arial" w:eastAsia="MS Mincho" w:hAnsi="Arial" w:cs="Arial"/>
          <w:sz w:val="20"/>
          <w:lang w:eastAsia="ja-JP"/>
        </w:rPr>
        <w:t>Consultado en diciembre 21, 2015, de http://www.doingbusiness.org/~/media/GIAWB/Doing%20Business/Documents/Annual-Reports/English/DB16-Full-Report.pdf.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Comisión Estatal de Derechos Humanos de Nuevo León (CEDHNL). (s. </w:t>
      </w:r>
      <w:proofErr w:type="gramStart"/>
      <w:r w:rsidRPr="00665F63">
        <w:rPr>
          <w:rFonts w:ascii="Arial" w:eastAsia="MS Mincho" w:hAnsi="Arial" w:cs="Arial"/>
          <w:sz w:val="20"/>
          <w:lang w:eastAsia="ja-JP"/>
        </w:rPr>
        <w:t>f</w:t>
      </w:r>
      <w:proofErr w:type="gramEnd"/>
      <w:r w:rsidRPr="00665F63">
        <w:rPr>
          <w:rFonts w:ascii="Arial" w:eastAsia="MS Mincho" w:hAnsi="Arial" w:cs="Arial"/>
          <w:sz w:val="20"/>
          <w:lang w:eastAsia="ja-JP"/>
        </w:rPr>
        <w:t xml:space="preserve">.) </w:t>
      </w:r>
      <w:r w:rsidRPr="00665F63">
        <w:rPr>
          <w:rFonts w:ascii="Arial" w:eastAsia="MS Mincho" w:hAnsi="Arial" w:cs="Arial"/>
          <w:i/>
          <w:sz w:val="20"/>
          <w:lang w:eastAsia="ja-JP"/>
        </w:rPr>
        <w:t xml:space="preserve">Recomendaciones. </w:t>
      </w:r>
      <w:r w:rsidRPr="00665F63">
        <w:rPr>
          <w:rFonts w:ascii="Arial" w:eastAsia="MS Mincho" w:hAnsi="Arial" w:cs="Arial"/>
          <w:sz w:val="20"/>
          <w:lang w:eastAsia="ja-JP"/>
        </w:rPr>
        <w:t xml:space="preserve">Consultado en diciembre 21, 2015, de http://www.cedhnl.org.mx/recomendaciones.html.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(2012).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http://cedhnl.org.mx/imagenes/publicaciones/informes/CEDHNLinforme2012.pdf.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(2013).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http://cedhnl.org.mx/imagenes/publicaciones/informes/CEDHNLinforme2013.pdf.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(2014).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http://cedhnl.org.mx/imagenes/publicaciones/informes/CEDHNLinforme2014.pdf.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(2015).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http://cedhnl.org.mx/imagenes/publicaciones/informes/CEDHNLinforme2015.pdf.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Consejo Nacional de Evaluación de la Política de Desarrollo Social (CONEVAL). (2012). </w:t>
      </w:r>
      <w:r w:rsidRPr="00665F63">
        <w:rPr>
          <w:rFonts w:ascii="Arial" w:eastAsia="MS Mincho" w:hAnsi="Arial" w:cs="Arial"/>
          <w:i/>
          <w:sz w:val="20"/>
          <w:lang w:eastAsia="ja-JP"/>
        </w:rPr>
        <w:t>Informe de pobreza y evaluación en el estado de Nuevo León</w:t>
      </w:r>
      <w:r w:rsidRPr="00665F63">
        <w:rPr>
          <w:rFonts w:ascii="Arial" w:eastAsia="MS Mincho" w:hAnsi="Arial" w:cs="Arial"/>
          <w:sz w:val="20"/>
          <w:lang w:eastAsia="ja-JP"/>
        </w:rPr>
        <w:t xml:space="preserve">. Consultado en diciembre 21, 2015, de </w:t>
      </w:r>
      <w:r w:rsidRPr="00665F63">
        <w:rPr>
          <w:rFonts w:ascii="Arial" w:eastAsia="MS Mincho" w:hAnsi="Arial" w:cs="Arial"/>
          <w:sz w:val="20"/>
          <w:lang w:eastAsia="ja-JP"/>
        </w:rPr>
        <w:lastRenderedPageBreak/>
        <w:t xml:space="preserve">http://www.coneval.gob.mx/Medicion/MP/Paginas/Medicion-de-la-pobreza-municipal-2010.aspx.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CONEVAL.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w:t>
      </w:r>
      <w:r w:rsidRPr="00665F63">
        <w:rPr>
          <w:rFonts w:ascii="Arial" w:eastAsia="MS Mincho" w:hAnsi="Arial" w:cs="Arial"/>
          <w:i/>
          <w:sz w:val="20"/>
          <w:lang w:eastAsia="ja-JP"/>
        </w:rPr>
        <w:t xml:space="preserve">Porcentaje de población en situación de pobreza 2010. </w:t>
      </w:r>
      <w:r w:rsidRPr="00665F63">
        <w:rPr>
          <w:rFonts w:ascii="Arial" w:eastAsia="MS Mincho" w:hAnsi="Arial" w:cs="Arial"/>
          <w:sz w:val="20"/>
          <w:lang w:eastAsia="ja-JP"/>
        </w:rPr>
        <w:t>Consultado en diciembre 21, 2015, de http://www.coneval.gob.mx/coordinacion/entidades/PublishingImages/Nuevo_Leon/pob_municipal/19mpobmun10.png.</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Desarrollo Integral de la Familia. (2015). </w:t>
      </w:r>
      <w:r w:rsidRPr="00665F63">
        <w:rPr>
          <w:rFonts w:ascii="Arial" w:eastAsia="MS Mincho" w:hAnsi="Arial" w:cs="Arial"/>
          <w:i/>
          <w:sz w:val="20"/>
          <w:lang w:eastAsia="ja-JP"/>
        </w:rPr>
        <w:t xml:space="preserve">Diagnóstico de Grupos de Vulnerables.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Gobierno del Estado de Nuevo León. (s. f. a). Instituto</w:t>
      </w:r>
      <w:r w:rsidRPr="00665F63">
        <w:rPr>
          <w:rFonts w:ascii="Arial" w:eastAsia="MS Mincho" w:hAnsi="Arial" w:cs="Arial"/>
          <w:sz w:val="20"/>
          <w:lang w:val="es-ES_tradnl" w:eastAsia="ja-JP"/>
        </w:rPr>
        <w:t xml:space="preserve"> de Capacitación, Evaluación y Certificación en Competencias para el Trabajo. En: </w:t>
      </w:r>
      <w:r w:rsidRPr="00665F63">
        <w:rPr>
          <w:rFonts w:ascii="Arial" w:eastAsia="MS Mincho" w:hAnsi="Arial" w:cs="Arial"/>
          <w:i/>
          <w:sz w:val="20"/>
          <w:lang w:val="es-ES_tradnl" w:eastAsia="ja-JP"/>
        </w:rPr>
        <w:t xml:space="preserve">Dependencias. </w:t>
      </w:r>
      <w:r w:rsidRPr="00665F63">
        <w:rPr>
          <w:rFonts w:ascii="Arial" w:eastAsia="MS Mincho" w:hAnsi="Arial" w:cs="Arial"/>
          <w:sz w:val="20"/>
          <w:lang w:eastAsia="ja-JP"/>
        </w:rPr>
        <w:t>Consultado en diciembre 21, 2015, de http://www.nl.gob.mx/icecct.</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Gobierno del Estado de Nuevo León.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f. b). Capacitación para el trabajo</w:t>
      </w:r>
      <w:r w:rsidRPr="00665F63">
        <w:rPr>
          <w:rFonts w:ascii="Arial" w:eastAsia="MS Mincho" w:hAnsi="Arial" w:cs="Arial"/>
          <w:sz w:val="20"/>
          <w:lang w:val="es-ES_tradnl" w:eastAsia="ja-JP"/>
        </w:rPr>
        <w:t xml:space="preserve">. En: </w:t>
      </w:r>
      <w:r w:rsidRPr="00665F63">
        <w:rPr>
          <w:rFonts w:ascii="Arial" w:eastAsia="MS Mincho" w:hAnsi="Arial" w:cs="Arial"/>
          <w:i/>
          <w:sz w:val="20"/>
          <w:lang w:val="es-ES_tradnl" w:eastAsia="ja-JP"/>
        </w:rPr>
        <w:t xml:space="preserve">Servicios. </w:t>
      </w:r>
      <w:r w:rsidRPr="00665F63">
        <w:rPr>
          <w:rFonts w:ascii="Arial" w:eastAsia="MS Mincho" w:hAnsi="Arial" w:cs="Arial"/>
          <w:sz w:val="20"/>
          <w:lang w:eastAsia="ja-JP"/>
        </w:rPr>
        <w:t>Consultado en diciembre 21, 2015, de http://www.nl.gob.mx/servicios/capacitacion-para-el-trabajo.</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MX" w:eastAsia="ja-JP"/>
        </w:rPr>
      </w:pPr>
      <w:r w:rsidRPr="00665F63">
        <w:rPr>
          <w:rFonts w:ascii="Arial" w:eastAsia="MS Mincho" w:hAnsi="Arial" w:cs="Arial"/>
          <w:sz w:val="20"/>
          <w:lang w:eastAsia="ja-JP"/>
        </w:rPr>
        <w:t>Instituto para el Federalismo y el Desarrollo Municipal (INAFED).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Monterrey. En: </w:t>
      </w:r>
      <w:r w:rsidRPr="00665F63">
        <w:rPr>
          <w:rFonts w:ascii="Arial" w:eastAsia="MS Mincho" w:hAnsi="Arial" w:cs="Arial"/>
          <w:i/>
          <w:sz w:val="20"/>
          <w:lang w:eastAsia="ja-JP"/>
        </w:rPr>
        <w:t>Enciclopedia de los Municipios y Delegaciones de México</w:t>
      </w:r>
      <w:r w:rsidRPr="00665F63">
        <w:rPr>
          <w:rFonts w:ascii="Arial" w:eastAsia="MS Mincho" w:hAnsi="Arial" w:cs="Arial"/>
          <w:sz w:val="20"/>
          <w:lang w:eastAsia="ja-JP"/>
        </w:rPr>
        <w:t xml:space="preserve">. Consultado en diciembre 21, 2015, de </w:t>
      </w:r>
      <w:r w:rsidRPr="00665F63">
        <w:rPr>
          <w:rFonts w:ascii="Arial" w:eastAsia="MS Mincho" w:hAnsi="Arial" w:cs="Arial"/>
          <w:sz w:val="20"/>
          <w:lang w:val="es-MX" w:eastAsia="ja-JP"/>
        </w:rPr>
        <w:t>http://www.inafed.gob.mx/work/enciclopedia/EMM19nuevoleon/municipios/19039a.html.</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INAFED.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b). </w:t>
      </w:r>
      <w:r w:rsidRPr="00665F63">
        <w:rPr>
          <w:rFonts w:ascii="Arial" w:eastAsia="MS Mincho" w:hAnsi="Arial" w:cs="Arial"/>
          <w:i/>
          <w:sz w:val="20"/>
          <w:lang w:eastAsia="ja-JP"/>
        </w:rPr>
        <w:t xml:space="preserve">Sistema Nacional de Información Municipal. </w:t>
      </w:r>
      <w:r w:rsidRPr="00665F63">
        <w:rPr>
          <w:rFonts w:ascii="Arial" w:eastAsia="MS Mincho" w:hAnsi="Arial" w:cs="Arial"/>
          <w:sz w:val="20"/>
          <w:lang w:eastAsia="ja-JP"/>
        </w:rPr>
        <w:t xml:space="preserve">Consultado en diciembre 21, 2015, de </w:t>
      </w:r>
      <w:r w:rsidRPr="00665F63">
        <w:rPr>
          <w:rFonts w:ascii="Arial" w:eastAsia="MS Mincho" w:hAnsi="Arial" w:cs="Arial"/>
          <w:i/>
          <w:sz w:val="20"/>
          <w:lang w:eastAsia="ja-JP"/>
        </w:rPr>
        <w:t xml:space="preserve">http://www.snim.rami.gob.mx.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Instituto Nacional de Geografía y Estadística (INEGI). (2005). </w:t>
      </w:r>
      <w:r w:rsidRPr="00665F63">
        <w:rPr>
          <w:rFonts w:ascii="Arial" w:eastAsia="MS Mincho" w:hAnsi="Arial" w:cs="Arial"/>
          <w:i/>
          <w:sz w:val="20"/>
          <w:lang w:eastAsia="ja-JP"/>
        </w:rPr>
        <w:t>Referencias geográficas y extensión territorial de México</w:t>
      </w:r>
      <w:r w:rsidRPr="00665F63">
        <w:rPr>
          <w:rFonts w:ascii="Arial" w:eastAsia="MS Mincho" w:hAnsi="Arial" w:cs="Arial"/>
          <w:sz w:val="20"/>
          <w:lang w:eastAsia="ja-JP"/>
        </w:rPr>
        <w:t>. Consultado en diciembre 21, 2015, de http://www.inegi.org.mx/inegi/spc/doc/internet/1-GeografiaDeMexico/man_refgeog_extterr_vs_enero_30_2088.pdf.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(s. f. a). Territorio. En: </w:t>
      </w:r>
      <w:r w:rsidRPr="00665F63">
        <w:rPr>
          <w:rFonts w:ascii="Arial" w:eastAsia="MS Mincho" w:hAnsi="Arial" w:cs="Arial"/>
          <w:i/>
          <w:sz w:val="20"/>
          <w:lang w:eastAsia="ja-JP"/>
        </w:rPr>
        <w:t>Información por entidad</w:t>
      </w:r>
      <w:r w:rsidRPr="00665F63">
        <w:rPr>
          <w:rFonts w:ascii="Arial" w:eastAsia="MS Mincho" w:hAnsi="Arial" w:cs="Arial"/>
          <w:sz w:val="20"/>
          <w:lang w:eastAsia="ja-JP"/>
        </w:rPr>
        <w:t>. Consultado en diciembre 21, 2015, de http://cuentame.inegi.org.mx/monografias/informacion/nl/territorio/default.aspx?tema=me&amp;e=19.</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lastRenderedPageBreak/>
        <w:t>INEGI.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b). Población. En: </w:t>
      </w:r>
      <w:r w:rsidRPr="00665F63">
        <w:rPr>
          <w:rFonts w:ascii="Arial" w:eastAsia="MS Mincho" w:hAnsi="Arial" w:cs="Arial"/>
          <w:i/>
          <w:sz w:val="20"/>
          <w:lang w:eastAsia="ja-JP"/>
        </w:rPr>
        <w:t>Información por entidad</w:t>
      </w:r>
      <w:r w:rsidRPr="00665F63">
        <w:rPr>
          <w:rFonts w:ascii="Arial" w:eastAsia="MS Mincho" w:hAnsi="Arial" w:cs="Arial"/>
          <w:sz w:val="20"/>
          <w:lang w:eastAsia="ja-JP"/>
        </w:rPr>
        <w:t>. Consultado en diciembre 21, 2015, de http://cuentame.inegi.org.mx/monografias/informacion/NL/Poblacion/default.aspx?tema=ME&amp;e=19.</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INEGI.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c). Monterrey. En: </w:t>
      </w:r>
      <w:r w:rsidRPr="00665F63">
        <w:rPr>
          <w:rFonts w:ascii="Arial" w:eastAsia="MS Mincho" w:hAnsi="Arial" w:cs="Arial"/>
          <w:i/>
          <w:sz w:val="20"/>
          <w:lang w:eastAsia="ja-JP"/>
        </w:rPr>
        <w:t>México en cifras</w:t>
      </w:r>
      <w:r w:rsidRPr="00665F63">
        <w:rPr>
          <w:rFonts w:ascii="Arial" w:eastAsia="MS Mincho" w:hAnsi="Arial" w:cs="Arial"/>
          <w:sz w:val="20"/>
          <w:lang w:eastAsia="ja-JP"/>
        </w:rPr>
        <w:t xml:space="preserve">. Consultado en diciembre 21, 2015, de http://www3.inegi.org.mx/sistemas/mexicocifras/default.aspx?e=19.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INEGI.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d). </w:t>
      </w:r>
      <w:r w:rsidRPr="00665F63">
        <w:rPr>
          <w:rFonts w:ascii="Arial" w:eastAsia="MS Mincho" w:hAnsi="Arial" w:cs="Arial"/>
          <w:i/>
          <w:sz w:val="20"/>
          <w:lang w:eastAsia="ja-JP"/>
        </w:rPr>
        <w:t xml:space="preserve">Banco de Información INEGI. </w:t>
      </w:r>
      <w:r w:rsidRPr="00665F63">
        <w:rPr>
          <w:rFonts w:ascii="Arial" w:eastAsia="MS Mincho" w:hAnsi="Arial" w:cs="Arial"/>
          <w:sz w:val="20"/>
          <w:lang w:eastAsia="ja-JP"/>
        </w:rPr>
        <w:t xml:space="preserve">Consultado en diciembre 21, 2015, de </w:t>
      </w:r>
      <w:r w:rsidRPr="00665F63">
        <w:rPr>
          <w:rFonts w:ascii="Arial" w:eastAsia="MS Mincho" w:hAnsi="Arial" w:cs="Arial"/>
          <w:i/>
          <w:sz w:val="20"/>
          <w:lang w:eastAsia="ja-JP"/>
        </w:rPr>
        <w:t xml:space="preserve">http://www3.inegi.org.mx/sistemas/biinegi/default.aspx.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(2011a). </w:t>
      </w:r>
      <w:r w:rsidRPr="00665F63">
        <w:rPr>
          <w:rFonts w:ascii="Arial" w:eastAsia="MS Mincho" w:hAnsi="Arial" w:cs="Arial"/>
          <w:i/>
          <w:sz w:val="20"/>
          <w:lang w:eastAsia="ja-JP"/>
        </w:rPr>
        <w:t>Principales resultados del Censo de Población y Vivienda 2010.</w:t>
      </w:r>
      <w:r w:rsidRPr="00665F63">
        <w:rPr>
          <w:rFonts w:ascii="Arial" w:eastAsia="MS Mincho" w:hAnsi="Arial" w:cs="Arial"/>
          <w:sz w:val="20"/>
          <w:lang w:eastAsia="ja-JP"/>
        </w:rPr>
        <w:t xml:space="preserve"> </w:t>
      </w:r>
      <w:r w:rsidRPr="00665F63">
        <w:rPr>
          <w:rFonts w:ascii="Arial" w:eastAsia="MS Mincho" w:hAnsi="Arial" w:cs="Arial"/>
          <w:i/>
          <w:sz w:val="20"/>
          <w:lang w:eastAsia="ja-JP"/>
        </w:rPr>
        <w:t>Nuevo León</w:t>
      </w:r>
      <w:r w:rsidRPr="00665F63">
        <w:rPr>
          <w:rFonts w:ascii="Arial" w:eastAsia="MS Mincho" w:hAnsi="Arial" w:cs="Arial"/>
          <w:sz w:val="20"/>
          <w:lang w:eastAsia="ja-JP"/>
        </w:rPr>
        <w:t>. Consultado en diciembre 21, 2015, de http://www.inegi.org.mx/prod_serv/contenidos/espanol/bvinegi/productos/censos/poblacion/2010/princi_result/nl/19_principales_resultados_cpv2010.pdf.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(2011). </w:t>
      </w:r>
      <w:r w:rsidRPr="00665F63">
        <w:rPr>
          <w:rFonts w:ascii="Arial" w:eastAsia="MS Mincho" w:hAnsi="Arial" w:cs="Arial"/>
          <w:i/>
          <w:sz w:val="20"/>
          <w:lang w:eastAsia="ja-JP"/>
        </w:rPr>
        <w:t>Panorama sociodemográfico de Nuevo León</w:t>
      </w:r>
      <w:r w:rsidRPr="00665F63">
        <w:rPr>
          <w:rFonts w:ascii="Arial" w:eastAsia="MS Mincho" w:hAnsi="Arial" w:cs="Arial"/>
          <w:sz w:val="20"/>
          <w:lang w:eastAsia="ja-JP"/>
        </w:rPr>
        <w:t>. Consultado en diciembre 21, 2015, de http://www.inegi.org.mx/prod_serv/contenidos/espanol/bvinegi/productos/censos/poblacion/2010/panora_socio/nl/Panorama_NL.pdf.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w:t>
      </w:r>
      <w:r w:rsidRPr="00665F63">
        <w:rPr>
          <w:rFonts w:ascii="Arial" w:eastAsia="MS Mincho" w:hAnsi="Arial" w:cs="Arial"/>
          <w:i/>
          <w:sz w:val="20"/>
          <w:lang w:eastAsia="ja-JP"/>
        </w:rPr>
        <w:t xml:space="preserve">Panorama Agropecuario Nuevo León. Censo Agropecuario 2007, </w:t>
      </w:r>
      <w:r w:rsidRPr="00665F63">
        <w:rPr>
          <w:rFonts w:ascii="Arial" w:eastAsia="MS Mincho" w:hAnsi="Arial" w:cs="Arial"/>
          <w:sz w:val="20"/>
          <w:lang w:eastAsia="ja-JP"/>
        </w:rPr>
        <w:t>México 2012,</w:t>
      </w:r>
      <w:r w:rsidRPr="00665F63">
        <w:rPr>
          <w:rFonts w:ascii="Arial" w:eastAsia="MS Mincho" w:hAnsi="Arial" w:cs="Arial"/>
          <w:i/>
          <w:sz w:val="20"/>
          <w:lang w:eastAsia="ja-JP"/>
        </w:rPr>
        <w:t xml:space="preserve"> </w:t>
      </w:r>
      <w:r w:rsidRPr="00665F63">
        <w:rPr>
          <w:rFonts w:ascii="Arial" w:eastAsia="MS Mincho" w:hAnsi="Arial" w:cs="Arial"/>
          <w:sz w:val="20"/>
          <w:lang w:eastAsia="ja-JP"/>
        </w:rPr>
        <w:t xml:space="preserve">Consultado en diciembre 21, 2015, de http://internet.contenidos.inegi.org.mx/contenidos/productos//prod_serv/contenidos/espanol/bvinegi/productos/censos/agropecuario/2007/panora_agrop/nl/PanoagroNL1.pdf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(2013). </w:t>
      </w:r>
      <w:r w:rsidRPr="00665F63">
        <w:rPr>
          <w:rFonts w:ascii="Arial" w:eastAsia="MS Mincho" w:hAnsi="Arial" w:cs="Arial"/>
          <w:i/>
          <w:sz w:val="20"/>
          <w:lang w:eastAsia="ja-JP"/>
        </w:rPr>
        <w:t xml:space="preserve">Perspectiva estadística Nuevo León. </w:t>
      </w:r>
      <w:r w:rsidRPr="00665F63">
        <w:rPr>
          <w:rFonts w:ascii="Arial" w:eastAsia="MS Mincho" w:hAnsi="Arial" w:cs="Arial"/>
          <w:sz w:val="20"/>
          <w:lang w:eastAsia="ja-JP"/>
        </w:rPr>
        <w:t xml:space="preserve"> Consultado en diciembre 21, 2015, de </w:t>
      </w:r>
      <w:hyperlink r:id="rId102" w:history="1">
        <w:r w:rsidRPr="00665F63">
          <w:rPr>
            <w:rFonts w:ascii="Arial" w:eastAsia="MS Mincho" w:hAnsi="Arial" w:cs="Arial"/>
            <w:sz w:val="20"/>
            <w:lang w:eastAsia="ja-JP"/>
          </w:rPr>
          <w:t>http://www.inegi.org.mx/prod_serv/contenidos/espanol/bvinegi/productos/integracion/estd_perspect/junio_2013/nl/702825049812.pdf</w:t>
        </w:r>
      </w:hyperlink>
      <w:r w:rsidRPr="00665F63">
        <w:rPr>
          <w:rFonts w:ascii="Arial" w:eastAsia="MS Mincho" w:hAnsi="Arial" w:cs="Arial"/>
          <w:sz w:val="20"/>
          <w:lang w:eastAsia="ja-JP"/>
        </w:rPr>
        <w:t xml:space="preserve">.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ITDP,  </w:t>
      </w:r>
      <w:r w:rsidRPr="00665F63">
        <w:rPr>
          <w:rFonts w:ascii="Arial" w:eastAsia="MS Mincho" w:hAnsi="Arial" w:cs="Arial"/>
          <w:i/>
          <w:sz w:val="20"/>
          <w:lang w:val="es-ES_tradnl" w:eastAsia="ja-JP"/>
        </w:rPr>
        <w:t>Instrumentos para el desarrollo orientado al transporte,</w:t>
      </w:r>
      <w:r w:rsidRPr="00665F63">
        <w:rPr>
          <w:rFonts w:ascii="Arial" w:eastAsia="MS Mincho" w:hAnsi="Arial" w:cs="Arial"/>
          <w:sz w:val="20"/>
          <w:lang w:val="es-ES_tradnl" w:eastAsia="ja-JP"/>
        </w:rPr>
        <w:t xml:space="preserve"> México, 2015. Disponible en: </w:t>
      </w:r>
      <w:hyperlink r:id="rId103" w:history="1">
        <w:r w:rsidRPr="00665F63">
          <w:rPr>
            <w:rFonts w:ascii="Arial" w:eastAsia="MS Mincho" w:hAnsi="Arial" w:cs="Arial"/>
            <w:sz w:val="20"/>
            <w:lang w:val="es-ES_tradnl" w:eastAsia="ja-JP"/>
          </w:rPr>
          <w:t>http://mexico.itdp.org/wp-content/uploads/Instrumentos-para-el-Desarrollo-Orientado-al-Transporte.pdf</w:t>
        </w:r>
      </w:hyperlink>
      <w:r w:rsidRPr="00665F63">
        <w:rPr>
          <w:rFonts w:ascii="Arial" w:eastAsia="MS Mincho" w:hAnsi="Arial" w:cs="Arial"/>
          <w:sz w:val="20"/>
          <w:lang w:val="es-ES_tradnl" w:eastAsia="ja-JP"/>
        </w:rPr>
        <w:t>, fecha de consulta 6 de enero de 2016.</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val="es-ES_tradnl" w:eastAsia="ja-JP"/>
        </w:rPr>
        <w:lastRenderedPageBreak/>
        <w:t xml:space="preserve">ITDP, </w:t>
      </w:r>
      <w:r w:rsidRPr="00665F63">
        <w:rPr>
          <w:rFonts w:ascii="Arial" w:eastAsia="MS Mincho" w:hAnsi="Arial" w:cs="Arial"/>
          <w:i/>
          <w:sz w:val="20"/>
          <w:lang w:val="es-ES_tradnl" w:eastAsia="ja-JP"/>
        </w:rPr>
        <w:t xml:space="preserve">Manual de participación en políticas de movilidad y desarrollo urbano, </w:t>
      </w:r>
      <w:r w:rsidRPr="00665F63">
        <w:rPr>
          <w:rFonts w:ascii="Arial" w:eastAsia="MS Mincho" w:hAnsi="Arial" w:cs="Arial"/>
          <w:sz w:val="20"/>
          <w:lang w:val="es-ES_tradnl" w:eastAsia="ja-JP"/>
        </w:rPr>
        <w:t xml:space="preserve">México, 2015, disponible en: </w:t>
      </w:r>
      <w:hyperlink r:id="rId104" w:history="1">
        <w:r w:rsidRPr="00665F63">
          <w:rPr>
            <w:rFonts w:ascii="Arial" w:eastAsia="MS Mincho" w:hAnsi="Arial" w:cs="Arial"/>
            <w:sz w:val="20"/>
            <w:lang w:val="es-ES_tradnl" w:eastAsia="ja-JP"/>
          </w:rPr>
          <w:t>http://mexico.itdp.org/noticias/manual-de-participacion-en-politicas-publicas-de-movilidad-y-desarrollo-urbano/</w:t>
        </w:r>
      </w:hyperlink>
      <w:r w:rsidRPr="00665F63">
        <w:rPr>
          <w:rFonts w:ascii="Arial" w:eastAsia="MS Mincho" w:hAnsi="Arial" w:cs="Arial"/>
          <w:sz w:val="20"/>
          <w:lang w:val="es-ES_tradnl" w:eastAsia="ja-JP"/>
        </w:rPr>
        <w:t>, fecha de consulta 11 de enero de 2016.</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MX" w:eastAsia="ja-JP"/>
        </w:rPr>
      </w:pPr>
      <w:r w:rsidRPr="00665F63">
        <w:rPr>
          <w:rFonts w:ascii="Arial" w:eastAsia="MS Mincho" w:hAnsi="Arial" w:cs="Arial"/>
          <w:sz w:val="20"/>
          <w:lang w:eastAsia="ja-JP"/>
        </w:rPr>
        <w:t xml:space="preserve">Oficina del Alto Comisionado de las Naciones Unidas para los Derechos Humanos (OACNUDH). (2003). </w:t>
      </w:r>
      <w:r w:rsidRPr="00665F63">
        <w:rPr>
          <w:rFonts w:ascii="Arial" w:eastAsia="MS Mincho" w:hAnsi="Arial" w:cs="Arial"/>
          <w:i/>
          <w:sz w:val="20"/>
          <w:lang w:val="es-MX" w:eastAsia="ja-JP"/>
        </w:rPr>
        <w:t>Diagnóstico sobre la situación de los derechos humanos en México</w:t>
      </w:r>
      <w:r w:rsidRPr="00665F63">
        <w:rPr>
          <w:rFonts w:ascii="Arial" w:eastAsia="MS Mincho" w:hAnsi="Arial" w:cs="Arial"/>
          <w:sz w:val="20"/>
          <w:lang w:val="es-MX" w:eastAsia="ja-JP"/>
        </w:rPr>
        <w:t xml:space="preserve">, (pp. 161-189). </w:t>
      </w:r>
      <w:r w:rsidRPr="00665F63">
        <w:rPr>
          <w:rFonts w:ascii="Arial" w:eastAsia="MS Mincho" w:hAnsi="Arial" w:cs="Arial"/>
          <w:sz w:val="20"/>
          <w:lang w:eastAsia="ja-JP"/>
        </w:rPr>
        <w:t>Consultado en diciembre 21, 2015, de http://www.hchr.org.mx/images/doc_pub/8diagnosticocompleto.pdf.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Unidad de Mejora Regulatoria del Estado de Nuevo León. (2014). </w:t>
      </w:r>
      <w:r w:rsidRPr="00665F63">
        <w:rPr>
          <w:rFonts w:ascii="Arial" w:eastAsia="MS Mincho" w:hAnsi="Arial" w:cs="Arial"/>
          <w:i/>
          <w:sz w:val="20"/>
          <w:lang w:eastAsia="ja-JP"/>
        </w:rPr>
        <w:t xml:space="preserve">Informe de actividades. </w:t>
      </w:r>
      <w:r w:rsidRPr="00665F63">
        <w:rPr>
          <w:rFonts w:ascii="Arial" w:eastAsia="MS Mincho" w:hAnsi="Arial" w:cs="Arial"/>
          <w:sz w:val="20"/>
          <w:lang w:eastAsia="ja-JP"/>
        </w:rPr>
        <w:t>Consultado en diciembre 21, 2015, de http://www.nl.gob.mx/sites/default/files/mejora_regulatoria_nl._8_dic_2014.pdf.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Secretaría de Desarrollo Social (SEDESOL). (2014a). </w:t>
      </w:r>
      <w:r w:rsidRPr="00665F63">
        <w:rPr>
          <w:rFonts w:ascii="Arial" w:eastAsia="MS Mincho" w:hAnsi="Arial" w:cs="Arial"/>
          <w:i/>
          <w:sz w:val="20"/>
          <w:lang w:eastAsia="ja-JP"/>
        </w:rPr>
        <w:t xml:space="preserve">Informe de pobreza. </w:t>
      </w:r>
      <w:r w:rsidRPr="00665F63">
        <w:rPr>
          <w:rFonts w:ascii="Arial" w:eastAsia="MS Mincho" w:hAnsi="Arial" w:cs="Arial"/>
          <w:sz w:val="20"/>
          <w:lang w:eastAsia="ja-JP"/>
        </w:rPr>
        <w:t>Consultado en diciembre 21, 2015, de https://www.sedesol.gob.mx/work/models/SEDESOL/Informes_pobreza/2014/Estados/Nuevo%20Leon.pdf.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SEDESOL. (2014b). Monterrey. En: </w:t>
      </w:r>
      <w:r w:rsidRPr="00665F63">
        <w:rPr>
          <w:rFonts w:ascii="Arial" w:eastAsia="MS Mincho" w:hAnsi="Arial" w:cs="Arial"/>
          <w:i/>
          <w:sz w:val="20"/>
          <w:lang w:eastAsia="ja-JP"/>
        </w:rPr>
        <w:t xml:space="preserve">Informe Anual sobre la Situación de Pobreza y Rezago Social. </w:t>
      </w:r>
      <w:r w:rsidRPr="00665F63">
        <w:rPr>
          <w:rFonts w:ascii="Arial" w:eastAsia="MS Mincho" w:hAnsi="Arial" w:cs="Arial"/>
          <w:sz w:val="20"/>
          <w:lang w:eastAsia="ja-JP"/>
        </w:rPr>
        <w:t>Consultado en diciembre 21, 2015, de http://www.gob.mx/cms/uploads/attachment/file/45944/Nuevo_Leon_039.pdf.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SEDESOL. (2015). Monterrey. En: </w:t>
      </w:r>
      <w:r w:rsidRPr="00665F63">
        <w:rPr>
          <w:rFonts w:ascii="Arial" w:eastAsia="MS Mincho" w:hAnsi="Arial" w:cs="Arial"/>
          <w:i/>
          <w:sz w:val="20"/>
          <w:lang w:eastAsia="ja-JP"/>
        </w:rPr>
        <w:t xml:space="preserve">Informe Anual sobre la Situación de Pobreza y Rezago Social. </w:t>
      </w:r>
      <w:r w:rsidRPr="00665F63">
        <w:rPr>
          <w:rFonts w:ascii="Arial" w:eastAsia="MS Mincho" w:hAnsi="Arial" w:cs="Arial"/>
          <w:sz w:val="20"/>
          <w:lang w:eastAsia="ja-JP"/>
        </w:rPr>
        <w:t>Consultado en diciembre 21, 2015, de http://www.gob.mx/cms/uploads/attachment/file/45995/Nuevo_Leon_039.pdf.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Servicios de Agua y Drenaje de Monterrey.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w:t>
      </w:r>
      <w:r w:rsidRPr="00665F63">
        <w:rPr>
          <w:rFonts w:ascii="Arial" w:eastAsia="MS Mincho" w:hAnsi="Arial" w:cs="Arial"/>
          <w:i/>
          <w:sz w:val="20"/>
          <w:lang w:eastAsia="ja-JP"/>
        </w:rPr>
        <w:t>Análisis de Alternativas de Fuentes de Abastecimiento a la Zona Metropolitana de Monterrey, N. L</w:t>
      </w:r>
      <w:proofErr w:type="gramStart"/>
      <w:r w:rsidRPr="00665F63">
        <w:rPr>
          <w:rFonts w:ascii="Arial" w:eastAsia="MS Mincho" w:hAnsi="Arial" w:cs="Arial"/>
          <w:i/>
          <w:sz w:val="20"/>
          <w:lang w:eastAsia="ja-JP"/>
        </w:rPr>
        <w:t>.</w:t>
      </w:r>
      <w:r w:rsidRPr="00665F63">
        <w:rPr>
          <w:rFonts w:ascii="Arial" w:eastAsia="MS Mincho" w:hAnsi="Arial" w:cs="Arial"/>
          <w:sz w:val="20"/>
          <w:lang w:eastAsia="ja-JP"/>
        </w:rPr>
        <w:t>.</w:t>
      </w:r>
      <w:proofErr w:type="gramEnd"/>
      <w:r w:rsidRPr="00665F63">
        <w:rPr>
          <w:rFonts w:ascii="Arial" w:eastAsia="MS Mincho" w:hAnsi="Arial" w:cs="Arial"/>
          <w:sz w:val="20"/>
          <w:lang w:eastAsia="ja-JP"/>
        </w:rPr>
        <w:t xml:space="preserve"> Consultado en diciembre 21, 2015, de http://www.fonadin.gob.mx/work/sites/fni/resources/LocalContent/783/21/AnalisisFuentesAlternativas.pdf.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Secretaría de Agricultura, Ganadería, Desarrollo rural, Pesca y Alimentación (SAGARPA).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Consultado en diciembre 21, 2015, de http://www.oeidrus-nl.gob.mx/oeidrus/index.php.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val="es-ES_tradnl" w:eastAsia="ja-JP"/>
        </w:rPr>
        <w:lastRenderedPageBreak/>
        <w:t>Secretariado Ejecutivo del Sistema Nacional de Seguridad Pública (SESNSP). (</w:t>
      </w:r>
      <w:proofErr w:type="gramStart"/>
      <w:r w:rsidRPr="00665F63">
        <w:rPr>
          <w:rFonts w:ascii="Arial" w:eastAsia="MS Mincho" w:hAnsi="Arial" w:cs="Arial"/>
          <w:sz w:val="20"/>
          <w:lang w:val="es-ES_tradnl" w:eastAsia="ja-JP"/>
        </w:rPr>
        <w:t>s</w:t>
      </w:r>
      <w:proofErr w:type="gramEnd"/>
      <w:r w:rsidRPr="00665F63">
        <w:rPr>
          <w:rFonts w:ascii="Arial" w:eastAsia="MS Mincho" w:hAnsi="Arial" w:cs="Arial"/>
          <w:sz w:val="20"/>
          <w:lang w:val="es-ES_tradnl" w:eastAsia="ja-JP"/>
        </w:rPr>
        <w:t xml:space="preserve">. f.). </w:t>
      </w:r>
      <w:r w:rsidRPr="00665F63">
        <w:rPr>
          <w:rFonts w:ascii="Arial" w:eastAsia="MS Mincho" w:hAnsi="Arial" w:cs="Arial"/>
          <w:i/>
          <w:sz w:val="20"/>
          <w:lang w:val="es-ES_tradnl" w:eastAsia="ja-JP"/>
        </w:rPr>
        <w:t>Incidencia delictiva del fuero común en los municipios</w:t>
      </w:r>
      <w:r w:rsidRPr="00665F63">
        <w:rPr>
          <w:rFonts w:ascii="Arial" w:eastAsia="MS Mincho" w:hAnsi="Arial" w:cs="Arial"/>
          <w:sz w:val="20"/>
          <w:lang w:val="es-ES_tradnl" w:eastAsia="ja-JP"/>
        </w:rPr>
        <w:t xml:space="preserve">. SEGOB. </w:t>
      </w:r>
      <w:r w:rsidRPr="00665F63">
        <w:rPr>
          <w:rFonts w:ascii="Arial" w:eastAsia="MS Mincho" w:hAnsi="Arial" w:cs="Arial"/>
          <w:sz w:val="20"/>
          <w:lang w:eastAsia="ja-JP"/>
        </w:rPr>
        <w:t xml:space="preserve">Consultado en diciembre 21, 2015, de http://secretariadoejecutivo.gob.mx/docs/pdfs/incidencia%20delictiva%20del%20fuero%20comun/IncidenciaDelictiva-Municipal2011-112015.zip.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Subsecretaría de Prevención y Participación Ciudadana.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w:t>
      </w:r>
      <w:r w:rsidRPr="00665F63">
        <w:rPr>
          <w:rFonts w:ascii="Arial" w:eastAsia="MS Mincho" w:hAnsi="Arial" w:cs="Arial"/>
          <w:i/>
          <w:sz w:val="20"/>
          <w:lang w:eastAsia="ja-JP"/>
        </w:rPr>
        <w:t xml:space="preserve">“Evaluación de la Matriz de Indicadores para resultados: Prevención y Participación Ciudadana del Programa de Comisarías”. </w:t>
      </w:r>
      <w:r w:rsidRPr="00665F63">
        <w:rPr>
          <w:rFonts w:ascii="Arial" w:eastAsia="MS Mincho" w:hAnsi="Arial" w:cs="Arial"/>
          <w:sz w:val="20"/>
          <w:lang w:eastAsia="ja-JP"/>
        </w:rPr>
        <w:t xml:space="preserve">Gobierno de Nuevo León. Consultado en diciembre 21, 2015, de http://www.nl.gob.mx/sites/default/files/evaluacion_mir_e0073_prevencion_y_particpacion_ciudadana.pdf.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CONEVAL. (s. f. a). </w:t>
      </w:r>
      <w:r w:rsidRPr="00665F63">
        <w:rPr>
          <w:rFonts w:ascii="Arial" w:eastAsia="MS Mincho" w:hAnsi="Arial" w:cs="Arial"/>
          <w:i/>
          <w:sz w:val="20"/>
          <w:lang w:eastAsia="ja-JP"/>
        </w:rPr>
        <w:t xml:space="preserve">Pobreza a nivel municipio 2010. </w:t>
      </w:r>
      <w:r w:rsidRPr="00665F63">
        <w:rPr>
          <w:rFonts w:ascii="Arial" w:eastAsia="MS Mincho" w:hAnsi="Arial" w:cs="Arial"/>
          <w:sz w:val="20"/>
          <w:lang w:eastAsia="ja-JP"/>
        </w:rPr>
        <w:t xml:space="preserve">En: </w:t>
      </w:r>
      <w:r w:rsidRPr="00665F63">
        <w:rPr>
          <w:rFonts w:ascii="Arial" w:eastAsia="MS Mincho" w:hAnsi="Arial" w:cs="Arial"/>
          <w:i/>
          <w:sz w:val="20"/>
          <w:lang w:eastAsia="ja-JP"/>
        </w:rPr>
        <w:t>Medición de la Pobreza</w:t>
      </w:r>
      <w:r w:rsidRPr="00665F63">
        <w:rPr>
          <w:rFonts w:ascii="Arial" w:eastAsia="MS Mincho" w:hAnsi="Arial" w:cs="Arial"/>
          <w:sz w:val="20"/>
          <w:lang w:eastAsia="ja-JP"/>
        </w:rPr>
        <w:t>. Consultado en diciembre 21, 2015, de http://www.coneval.gob.mx/Medicion/MP/Paginas/Medicion-de-la-pobreza-municipal-2010.aspx.</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Secretaría de Salud del Gobierno del Estado de Nuevo León. (</w:t>
      </w:r>
      <w:proofErr w:type="gramStart"/>
      <w:r w:rsidRPr="00665F63">
        <w:rPr>
          <w:rFonts w:ascii="Arial" w:eastAsia="MS Mincho" w:hAnsi="Arial" w:cs="Arial"/>
          <w:sz w:val="20"/>
          <w:lang w:eastAsia="ja-JP"/>
        </w:rPr>
        <w:t>s</w:t>
      </w:r>
      <w:proofErr w:type="gramEnd"/>
      <w:r w:rsidRPr="00665F63">
        <w:rPr>
          <w:rFonts w:ascii="Arial" w:eastAsia="MS Mincho" w:hAnsi="Arial" w:cs="Arial"/>
          <w:sz w:val="20"/>
          <w:lang w:eastAsia="ja-JP"/>
        </w:rPr>
        <w:t xml:space="preserve">. f.). </w:t>
      </w:r>
      <w:r w:rsidRPr="00665F63">
        <w:rPr>
          <w:rFonts w:ascii="Arial" w:eastAsia="MS Mincho" w:hAnsi="Arial" w:cs="Arial"/>
          <w:i/>
          <w:sz w:val="20"/>
          <w:lang w:eastAsia="ja-JP"/>
        </w:rPr>
        <w:t xml:space="preserve">Unidades Médicas. </w:t>
      </w:r>
      <w:r w:rsidRPr="00665F63">
        <w:rPr>
          <w:rFonts w:ascii="Arial" w:eastAsia="MS Mincho" w:hAnsi="Arial" w:cs="Arial"/>
          <w:sz w:val="20"/>
          <w:lang w:eastAsia="ja-JP"/>
        </w:rPr>
        <w:t>Consultado en diciembre 21, 2015, de http://www.saludnl.gob.mx/drupal/unidades-médicas.</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OVIEDO, Marilú. (2014). </w:t>
      </w:r>
      <w:r w:rsidRPr="00665F63">
        <w:rPr>
          <w:rFonts w:ascii="Arial" w:eastAsia="MS Mincho" w:hAnsi="Arial" w:cs="Arial"/>
          <w:i/>
          <w:sz w:val="20"/>
          <w:lang w:eastAsia="ja-JP"/>
        </w:rPr>
        <w:t>Ya no caben más muertos en panteones municipales.</w:t>
      </w:r>
      <w:r w:rsidRPr="00665F63">
        <w:rPr>
          <w:rFonts w:ascii="Arial" w:eastAsia="MS Mincho" w:hAnsi="Arial" w:cs="Arial"/>
          <w:sz w:val="20"/>
          <w:lang w:eastAsia="ja-JP"/>
        </w:rPr>
        <w:t xml:space="preserve"> En: </w:t>
      </w:r>
      <w:r w:rsidRPr="00665F63">
        <w:rPr>
          <w:rFonts w:ascii="Arial" w:eastAsia="MS Mincho" w:hAnsi="Arial" w:cs="Arial"/>
          <w:i/>
          <w:sz w:val="20"/>
          <w:lang w:eastAsia="ja-JP"/>
        </w:rPr>
        <w:t>Local</w:t>
      </w:r>
      <w:r w:rsidRPr="00665F63">
        <w:rPr>
          <w:rFonts w:ascii="Arial" w:eastAsia="MS Mincho" w:hAnsi="Arial" w:cs="Arial"/>
          <w:sz w:val="20"/>
          <w:lang w:eastAsia="ja-JP"/>
        </w:rPr>
        <w:t>. Consultado en diciembre 21, 2015, de http://www.multimedios.com/telediario/local/ya-no-caben-mas-muertos.html.</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Secretaría de Gobernación (SEGOB). (2014). </w:t>
      </w:r>
      <w:r w:rsidRPr="00665F63">
        <w:rPr>
          <w:rFonts w:ascii="Arial" w:eastAsia="MS Mincho" w:hAnsi="Arial" w:cs="Arial"/>
          <w:bCs/>
          <w:i/>
          <w:sz w:val="20"/>
          <w:lang w:eastAsia="ja-JP"/>
        </w:rPr>
        <w:t>Reglas de Operación del Programa de Vivienda Digna, para el ejercicio fiscal 2015 y subsecuentes</w:t>
      </w:r>
      <w:r w:rsidRPr="00665F63">
        <w:rPr>
          <w:rFonts w:ascii="Arial" w:eastAsia="MS Mincho" w:hAnsi="Arial" w:cs="Arial"/>
          <w:bCs/>
          <w:sz w:val="20"/>
          <w:lang w:eastAsia="ja-JP"/>
        </w:rPr>
        <w:t xml:space="preserve">. En: </w:t>
      </w:r>
      <w:r w:rsidRPr="00665F63">
        <w:rPr>
          <w:rFonts w:ascii="Arial" w:eastAsia="MS Mincho" w:hAnsi="Arial" w:cs="Arial"/>
          <w:bCs/>
          <w:i/>
          <w:sz w:val="20"/>
          <w:lang w:eastAsia="ja-JP"/>
        </w:rPr>
        <w:t>Diario Oficial de la Federación.</w:t>
      </w:r>
      <w:r w:rsidRPr="00665F63">
        <w:rPr>
          <w:rFonts w:ascii="Arial" w:eastAsia="MS Mincho" w:hAnsi="Arial" w:cs="Arial"/>
          <w:sz w:val="20"/>
          <w:lang w:eastAsia="ja-JP"/>
        </w:rPr>
        <w:t xml:space="preserve"> Consultado en diciembre 21, 2015, de</w:t>
      </w:r>
      <w:r w:rsidRPr="00665F63">
        <w:rPr>
          <w:rFonts w:ascii="Arial" w:eastAsia="MS Mincho" w:hAnsi="Arial" w:cs="Arial"/>
          <w:sz w:val="20"/>
          <w:lang w:val="es-ES_tradnl" w:eastAsia="ja-JP"/>
        </w:rPr>
        <w:t xml:space="preserve"> </w:t>
      </w:r>
      <w:hyperlink r:id="rId105" w:history="1">
        <w:r w:rsidRPr="00665F63">
          <w:rPr>
            <w:rFonts w:ascii="Arial" w:eastAsia="MS Mincho" w:hAnsi="Arial" w:cs="Arial"/>
            <w:sz w:val="20"/>
            <w:lang w:eastAsia="ja-JP"/>
          </w:rPr>
          <w:t>http://www.dof.gob.mx/nota_detalle.php?codigo=5377734&amp;fecha=30/12/2014</w:t>
        </w:r>
      </w:hyperlink>
      <w:r w:rsidRPr="00665F63">
        <w:rPr>
          <w:rFonts w:ascii="Arial" w:eastAsia="MS Mincho" w:hAnsi="Arial" w:cs="Arial"/>
          <w:sz w:val="20"/>
          <w:lang w:eastAsia="ja-JP"/>
        </w:rPr>
        <w:t>.</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Secretariado General de la Organización de Estados Americanos, </w:t>
      </w:r>
      <w:r w:rsidRPr="00665F63">
        <w:rPr>
          <w:rFonts w:ascii="Arial" w:eastAsia="MS Mincho" w:hAnsi="Arial" w:cs="Arial"/>
          <w:i/>
          <w:sz w:val="20"/>
          <w:lang w:val="es-ES_tradnl" w:eastAsia="ja-JP"/>
        </w:rPr>
        <w:t>Desigualdad e Inclusión Social en las Américas: 14 ensayos,</w:t>
      </w:r>
      <w:r w:rsidRPr="00665F63">
        <w:rPr>
          <w:rFonts w:ascii="Arial" w:hAnsi="Arial" w:cs="Arial"/>
          <w:sz w:val="20"/>
          <w:lang w:val="es-ES_tradnl"/>
        </w:rPr>
        <w:t xml:space="preserve"> OAS. Documentos oficiales; OEA/</w:t>
      </w:r>
      <w:proofErr w:type="spellStart"/>
      <w:r w:rsidRPr="00665F63">
        <w:rPr>
          <w:rFonts w:ascii="Arial" w:hAnsi="Arial" w:cs="Arial"/>
          <w:sz w:val="20"/>
          <w:lang w:val="es-ES_tradnl"/>
        </w:rPr>
        <w:t>Ser.D</w:t>
      </w:r>
      <w:proofErr w:type="spellEnd"/>
      <w:r w:rsidRPr="00665F63">
        <w:rPr>
          <w:rFonts w:ascii="Arial" w:hAnsi="Arial" w:cs="Arial"/>
          <w:sz w:val="20"/>
          <w:lang w:val="es-ES_tradnl"/>
        </w:rPr>
        <w:t xml:space="preserve">/XV.11, Segunda Edición, 2011, disponible en: </w:t>
      </w:r>
      <w:hyperlink r:id="rId106" w:history="1">
        <w:r w:rsidRPr="00665F63">
          <w:rPr>
            <w:rFonts w:ascii="Arial" w:hAnsi="Arial" w:cs="Arial"/>
            <w:sz w:val="20"/>
            <w:lang w:val="es-ES_tradnl"/>
          </w:rPr>
          <w:t>https://www.oas.org/docs/desigualdad/LIBRO-DESIGUALDAD.pdf</w:t>
        </w:r>
      </w:hyperlink>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proofErr w:type="spellStart"/>
      <w:r w:rsidRPr="00665F63">
        <w:rPr>
          <w:rFonts w:ascii="Arial" w:hAnsi="Arial" w:cs="Arial"/>
          <w:sz w:val="20"/>
          <w:lang w:val="es-ES_tradnl"/>
        </w:rPr>
        <w:t>Urball</w:t>
      </w:r>
      <w:proofErr w:type="spellEnd"/>
      <w:r w:rsidRPr="00665F63">
        <w:rPr>
          <w:rFonts w:ascii="Arial" w:hAnsi="Arial" w:cs="Arial"/>
          <w:sz w:val="20"/>
          <w:lang w:val="es-ES_tradnl"/>
        </w:rPr>
        <w:t xml:space="preserve"> </w:t>
      </w:r>
      <w:proofErr w:type="spellStart"/>
      <w:r w:rsidRPr="00665F63">
        <w:rPr>
          <w:rFonts w:ascii="Arial" w:hAnsi="Arial" w:cs="Arial"/>
          <w:sz w:val="20"/>
          <w:lang w:val="es-ES_tradnl"/>
        </w:rPr>
        <w:t>integration</w:t>
      </w:r>
      <w:proofErr w:type="spellEnd"/>
      <w:r w:rsidRPr="00665F63">
        <w:rPr>
          <w:rFonts w:ascii="Arial" w:hAnsi="Arial" w:cs="Arial"/>
          <w:sz w:val="20"/>
          <w:lang w:val="es-ES_tradnl"/>
        </w:rPr>
        <w:t xml:space="preserve">, </w:t>
      </w:r>
      <w:r w:rsidRPr="00665F63">
        <w:rPr>
          <w:rFonts w:ascii="Arial" w:hAnsi="Arial" w:cs="Arial"/>
          <w:i/>
          <w:sz w:val="20"/>
          <w:lang w:val="es-ES_tradnl"/>
        </w:rPr>
        <w:t xml:space="preserve">Desarrollo Urbano Sostenible en Latinoamérica, </w:t>
      </w:r>
      <w:r w:rsidRPr="00665F63">
        <w:rPr>
          <w:rFonts w:ascii="Arial" w:hAnsi="Arial" w:cs="Arial"/>
          <w:sz w:val="20"/>
          <w:lang w:val="es-ES_tradnl"/>
        </w:rPr>
        <w:t xml:space="preserve">Ecuador, 2011, disponible en: </w:t>
      </w:r>
      <w:hyperlink r:id="rId107" w:history="1">
        <w:r w:rsidRPr="00665F63">
          <w:rPr>
            <w:rFonts w:ascii="Arial" w:hAnsi="Arial" w:cs="Arial"/>
            <w:sz w:val="20"/>
            <w:lang w:val="es-ES_tradnl"/>
          </w:rPr>
          <w:t>http://www.urbal-</w:t>
        </w:r>
        <w:r w:rsidRPr="00665F63">
          <w:rPr>
            <w:rFonts w:ascii="Arial" w:hAnsi="Arial" w:cs="Arial"/>
            <w:sz w:val="20"/>
            <w:lang w:val="es-ES_tradnl"/>
          </w:rPr>
          <w:lastRenderedPageBreak/>
          <w:t>integration.eu/fileadmin/templates/Public_Download/Desarrollo_Sostenible.pdf</w:t>
        </w:r>
      </w:hyperlink>
      <w:r w:rsidRPr="00665F63">
        <w:rPr>
          <w:rFonts w:ascii="Arial" w:hAnsi="Arial" w:cs="Arial"/>
          <w:sz w:val="20"/>
          <w:lang w:val="es-ES_tradnl"/>
        </w:rPr>
        <w:t xml:space="preserve">, fecha de consulta 10 de enero de 2016. </w:t>
      </w:r>
    </w:p>
    <w:p w:rsidR="00235C2F" w:rsidRDefault="00235C2F" w:rsidP="00235C2F">
      <w:pPr>
        <w:jc w:val="both"/>
        <w:rPr>
          <w:rFonts w:ascii="Arial" w:hAnsi="Arial" w:cs="Arial"/>
          <w:sz w:val="22"/>
          <w:szCs w:val="22"/>
        </w:rPr>
      </w:pPr>
      <w:r w:rsidRPr="00D8466F">
        <w:rPr>
          <w:rFonts w:ascii="Arial" w:hAnsi="Arial" w:cs="Arial"/>
          <w:b/>
          <w:sz w:val="22"/>
          <w:szCs w:val="22"/>
        </w:rPr>
        <w:t>SEGUNDO.</w:t>
      </w:r>
      <w:r w:rsidRPr="00D8466F">
        <w:rPr>
          <w:rFonts w:ascii="Arial" w:hAnsi="Arial" w:cs="Arial"/>
          <w:sz w:val="22"/>
          <w:szCs w:val="22"/>
        </w:rPr>
        <w:t xml:space="preserve"> </w:t>
      </w:r>
      <w:r w:rsidR="009B310D">
        <w:rPr>
          <w:rFonts w:ascii="Arial" w:hAnsi="Arial" w:cs="Arial"/>
          <w:sz w:val="22"/>
          <w:szCs w:val="22"/>
        </w:rPr>
        <w:t>Publíquense los presentes Acuerdos</w:t>
      </w:r>
      <w:r w:rsidRPr="00D8466F">
        <w:rPr>
          <w:rFonts w:ascii="Arial" w:hAnsi="Arial" w:cs="Arial"/>
          <w:sz w:val="22"/>
          <w:szCs w:val="22"/>
        </w:rPr>
        <w:t xml:space="preserve"> en el </w:t>
      </w:r>
      <w:r w:rsidRPr="009B310D">
        <w:rPr>
          <w:rFonts w:ascii="Arial" w:hAnsi="Arial" w:cs="Arial"/>
          <w:i/>
          <w:sz w:val="22"/>
          <w:szCs w:val="22"/>
        </w:rPr>
        <w:t>Periódico Oficial del Estado</w:t>
      </w:r>
      <w:r w:rsidRPr="00D8466F">
        <w:rPr>
          <w:rFonts w:ascii="Arial" w:hAnsi="Arial" w:cs="Arial"/>
          <w:sz w:val="22"/>
          <w:szCs w:val="22"/>
        </w:rPr>
        <w:t xml:space="preserve"> y </w:t>
      </w:r>
      <w:r w:rsidR="009B310D">
        <w:rPr>
          <w:rFonts w:ascii="Arial" w:hAnsi="Arial" w:cs="Arial"/>
          <w:sz w:val="22"/>
          <w:szCs w:val="22"/>
        </w:rPr>
        <w:t xml:space="preserve">difúndanse </w:t>
      </w:r>
      <w:r w:rsidRPr="00D8466F">
        <w:rPr>
          <w:rFonts w:ascii="Arial" w:hAnsi="Arial" w:cs="Arial"/>
          <w:sz w:val="22"/>
          <w:szCs w:val="22"/>
        </w:rPr>
        <w:t xml:space="preserve">en la </w:t>
      </w:r>
      <w:r w:rsidRPr="009B310D">
        <w:rPr>
          <w:rFonts w:ascii="Arial" w:hAnsi="Arial" w:cs="Arial"/>
          <w:i/>
          <w:sz w:val="22"/>
          <w:szCs w:val="22"/>
        </w:rPr>
        <w:t>Gaceta Municipal</w:t>
      </w:r>
      <w:r w:rsidR="009B310D">
        <w:rPr>
          <w:rFonts w:ascii="Arial" w:hAnsi="Arial" w:cs="Arial"/>
          <w:sz w:val="22"/>
          <w:szCs w:val="22"/>
        </w:rPr>
        <w:t xml:space="preserve"> </w:t>
      </w:r>
      <w:r w:rsidRPr="00D8466F">
        <w:rPr>
          <w:rFonts w:ascii="Arial" w:hAnsi="Arial" w:cs="Arial"/>
          <w:sz w:val="22"/>
          <w:szCs w:val="22"/>
        </w:rPr>
        <w:t>así</w:t>
      </w:r>
      <w:r w:rsidR="009B310D">
        <w:rPr>
          <w:rFonts w:ascii="Arial" w:hAnsi="Arial" w:cs="Arial"/>
          <w:sz w:val="22"/>
          <w:szCs w:val="22"/>
        </w:rPr>
        <w:t xml:space="preserve"> como en la página oficial en Internet</w:t>
      </w:r>
      <w:r w:rsidRPr="00D8466F">
        <w:rPr>
          <w:rFonts w:ascii="Arial" w:hAnsi="Arial" w:cs="Arial"/>
          <w:sz w:val="22"/>
          <w:szCs w:val="22"/>
        </w:rPr>
        <w:t xml:space="preserve">: </w:t>
      </w:r>
      <w:r w:rsidRPr="009B310D">
        <w:rPr>
          <w:rFonts w:ascii="Arial" w:hAnsi="Arial" w:cs="Arial"/>
          <w:i/>
          <w:sz w:val="22"/>
          <w:szCs w:val="22"/>
        </w:rPr>
        <w:t>www.mty.gob.mx</w:t>
      </w:r>
      <w:r w:rsidR="009B310D">
        <w:rPr>
          <w:rFonts w:ascii="Arial" w:hAnsi="Arial" w:cs="Arial"/>
          <w:sz w:val="22"/>
          <w:szCs w:val="22"/>
        </w:rPr>
        <w:t>.</w:t>
      </w:r>
    </w:p>
    <w:p w:rsidR="00235C2F" w:rsidRDefault="00235C2F" w:rsidP="00235C2F">
      <w:pPr>
        <w:jc w:val="both"/>
        <w:rPr>
          <w:rFonts w:ascii="Arial" w:hAnsi="Arial" w:cs="Arial"/>
          <w:sz w:val="22"/>
          <w:szCs w:val="22"/>
        </w:rPr>
      </w:pPr>
    </w:p>
    <w:p w:rsidR="0022687E" w:rsidRPr="0007327F" w:rsidRDefault="003D3A9D" w:rsidP="0007327F">
      <w:pPr>
        <w:rPr>
          <w:rFonts w:ascii="Arial" w:hAnsi="Arial" w:cs="Arial"/>
          <w:sz w:val="22"/>
          <w:szCs w:val="22"/>
        </w:rPr>
      </w:pPr>
      <w:r w:rsidRPr="0007327F">
        <w:rPr>
          <w:rFonts w:ascii="Arial" w:hAnsi="Arial" w:cs="Arial"/>
          <w:sz w:val="22"/>
          <w:szCs w:val="22"/>
        </w:rPr>
        <w:t>ATENTAMENTE</w:t>
      </w:r>
      <w:r w:rsidR="002A519E" w:rsidRPr="0007327F">
        <w:rPr>
          <w:rFonts w:ascii="Arial" w:hAnsi="Arial" w:cs="Arial"/>
          <w:sz w:val="22"/>
          <w:szCs w:val="22"/>
        </w:rPr>
        <w:t xml:space="preserve"> </w:t>
      </w:r>
      <w:r w:rsidRPr="0007327F">
        <w:rPr>
          <w:rFonts w:ascii="Arial" w:hAnsi="Arial" w:cs="Arial"/>
          <w:sz w:val="22"/>
          <w:szCs w:val="22"/>
        </w:rPr>
        <w:t>MONTERREY, NUEVO LEÓN A 25 DE ENERO DE 2016</w:t>
      </w:r>
      <w:r w:rsidR="0007327F" w:rsidRPr="0007327F">
        <w:rPr>
          <w:rFonts w:ascii="Arial" w:hAnsi="Arial" w:cs="Arial"/>
          <w:sz w:val="22"/>
          <w:szCs w:val="22"/>
        </w:rPr>
        <w:t xml:space="preserve">. </w:t>
      </w:r>
      <w:r w:rsidR="00235C2F" w:rsidRPr="0007327F">
        <w:rPr>
          <w:rFonts w:ascii="Arial" w:hAnsi="Arial" w:cs="Arial"/>
          <w:sz w:val="22"/>
          <w:szCs w:val="22"/>
        </w:rPr>
        <w:t>C. ADRIÁN EMILIO DE LA GARZA SANTOS</w:t>
      </w:r>
      <w:r w:rsidR="0007327F" w:rsidRPr="0007327F">
        <w:rPr>
          <w:rFonts w:ascii="Arial" w:hAnsi="Arial" w:cs="Arial"/>
          <w:sz w:val="22"/>
          <w:szCs w:val="22"/>
        </w:rPr>
        <w:t xml:space="preserve">, </w:t>
      </w:r>
      <w:r w:rsidR="00235C2F" w:rsidRPr="0007327F">
        <w:rPr>
          <w:rFonts w:ascii="Arial" w:hAnsi="Arial" w:cs="Arial"/>
          <w:sz w:val="22"/>
          <w:szCs w:val="22"/>
        </w:rPr>
        <w:t>PRESIDENTE MUNICIPAL</w:t>
      </w:r>
      <w:r w:rsidR="0007327F" w:rsidRPr="0007327F">
        <w:rPr>
          <w:rFonts w:ascii="Arial" w:hAnsi="Arial" w:cs="Arial"/>
          <w:sz w:val="22"/>
          <w:szCs w:val="22"/>
        </w:rPr>
        <w:t xml:space="preserve">/ </w:t>
      </w:r>
      <w:r w:rsidR="00235C2F" w:rsidRPr="0007327F">
        <w:rPr>
          <w:rFonts w:ascii="Arial" w:hAnsi="Arial" w:cs="Arial"/>
          <w:sz w:val="22"/>
          <w:szCs w:val="22"/>
        </w:rPr>
        <w:t>C. GENARO GARCÍA DE LA GARZA</w:t>
      </w:r>
      <w:r w:rsidR="0007327F" w:rsidRPr="0007327F">
        <w:rPr>
          <w:rFonts w:ascii="Arial" w:hAnsi="Arial" w:cs="Arial"/>
          <w:sz w:val="22"/>
          <w:szCs w:val="22"/>
        </w:rPr>
        <w:t xml:space="preserve">, </w:t>
      </w:r>
      <w:r w:rsidR="00235C2F" w:rsidRPr="0007327F">
        <w:rPr>
          <w:rFonts w:ascii="Arial" w:hAnsi="Arial" w:cs="Arial"/>
          <w:sz w:val="22"/>
          <w:szCs w:val="22"/>
        </w:rPr>
        <w:t>SECRETARIO DEL AYUNTAMIENTO</w:t>
      </w:r>
      <w:r w:rsidR="0007327F" w:rsidRPr="0007327F">
        <w:rPr>
          <w:rFonts w:ascii="Arial" w:hAnsi="Arial" w:cs="Arial"/>
          <w:sz w:val="22"/>
          <w:szCs w:val="22"/>
        </w:rPr>
        <w:t>/ (RÚBRICAS).</w:t>
      </w:r>
    </w:p>
    <w:p w:rsidR="002A519E" w:rsidRDefault="002A519E" w:rsidP="00665F63">
      <w:pPr>
        <w:jc w:val="center"/>
        <w:rPr>
          <w:rFonts w:ascii="Arial" w:hAnsi="Arial" w:cs="Arial"/>
          <w:b/>
          <w:sz w:val="22"/>
          <w:szCs w:val="22"/>
        </w:rPr>
      </w:pPr>
    </w:p>
    <w:p w:rsidR="002A519E" w:rsidRDefault="002A519E" w:rsidP="00665F63">
      <w:pPr>
        <w:jc w:val="center"/>
        <w:rPr>
          <w:rFonts w:ascii="Arial" w:hAnsi="Arial" w:cs="Arial"/>
          <w:b/>
          <w:sz w:val="22"/>
          <w:szCs w:val="22"/>
        </w:rPr>
      </w:pPr>
    </w:p>
    <w:p w:rsidR="0007327F" w:rsidRDefault="0007327F" w:rsidP="00665F63">
      <w:pPr>
        <w:jc w:val="center"/>
        <w:rPr>
          <w:rFonts w:ascii="Arial" w:hAnsi="Arial" w:cs="Arial"/>
          <w:b/>
          <w:sz w:val="22"/>
          <w:szCs w:val="22"/>
        </w:rPr>
      </w:pPr>
    </w:p>
    <w:p w:rsidR="002A519E" w:rsidRPr="00F93741" w:rsidRDefault="002A519E" w:rsidP="002A519E">
      <w:pPr>
        <w:tabs>
          <w:tab w:val="left" w:pos="4253"/>
        </w:tabs>
        <w:jc w:val="both"/>
        <w:rPr>
          <w:rFonts w:ascii="Arial" w:hAnsi="Arial" w:cs="Arial"/>
          <w:sz w:val="22"/>
          <w:szCs w:val="22"/>
        </w:rPr>
      </w:pPr>
      <w:r w:rsidRPr="00F93741">
        <w:rPr>
          <w:rFonts w:ascii="Arial" w:hAnsi="Arial" w:cs="Arial"/>
          <w:sz w:val="22"/>
          <w:szCs w:val="22"/>
          <w:lang w:val="es-MX"/>
        </w:rPr>
        <w:t>Dado en la Sala de Ses</w:t>
      </w:r>
      <w:r w:rsidR="0007327F">
        <w:rPr>
          <w:rFonts w:ascii="Arial" w:hAnsi="Arial" w:cs="Arial"/>
          <w:sz w:val="22"/>
          <w:szCs w:val="22"/>
          <w:lang w:val="es-MX"/>
        </w:rPr>
        <w:t>iones del Ayuntamiento, a los 26</w:t>
      </w:r>
      <w:r>
        <w:rPr>
          <w:rFonts w:ascii="Arial" w:hAnsi="Arial" w:cs="Arial"/>
          <w:sz w:val="22"/>
          <w:szCs w:val="22"/>
          <w:lang w:val="es-MX"/>
        </w:rPr>
        <w:t>-</w:t>
      </w:r>
      <w:r w:rsidR="0007327F">
        <w:rPr>
          <w:rFonts w:ascii="Arial" w:hAnsi="Arial" w:cs="Arial"/>
          <w:sz w:val="22"/>
          <w:szCs w:val="22"/>
          <w:lang w:val="es-MX"/>
        </w:rPr>
        <w:t xml:space="preserve">veintiséis </w:t>
      </w:r>
      <w:r w:rsidRPr="00F93741">
        <w:rPr>
          <w:rFonts w:ascii="Arial" w:hAnsi="Arial" w:cs="Arial"/>
          <w:sz w:val="22"/>
          <w:szCs w:val="22"/>
          <w:lang w:val="es-MX"/>
        </w:rPr>
        <w:t xml:space="preserve">días </w:t>
      </w:r>
      <w:r w:rsidR="000F792D">
        <w:rPr>
          <w:rFonts w:ascii="Arial" w:hAnsi="Arial" w:cs="Arial"/>
          <w:sz w:val="22"/>
          <w:szCs w:val="22"/>
          <w:lang w:val="es-MX"/>
        </w:rPr>
        <w:t xml:space="preserve">del </w:t>
      </w:r>
      <w:r w:rsidRPr="00F93741">
        <w:rPr>
          <w:rFonts w:ascii="Arial" w:hAnsi="Arial" w:cs="Arial"/>
          <w:sz w:val="22"/>
          <w:szCs w:val="22"/>
          <w:lang w:val="es-MX"/>
        </w:rPr>
        <w:t xml:space="preserve">mes de </w:t>
      </w:r>
      <w:r>
        <w:rPr>
          <w:rFonts w:ascii="Arial" w:hAnsi="Arial" w:cs="Arial"/>
          <w:sz w:val="22"/>
          <w:szCs w:val="22"/>
          <w:lang w:val="es-MX"/>
        </w:rPr>
        <w:t>enero de 2016</w:t>
      </w:r>
      <w:r w:rsidRPr="00F93741">
        <w:rPr>
          <w:rFonts w:ascii="Arial" w:hAnsi="Arial" w:cs="Arial"/>
          <w:sz w:val="22"/>
          <w:szCs w:val="22"/>
          <w:lang w:val="es-MX"/>
        </w:rPr>
        <w:t xml:space="preserve">-dos mil </w:t>
      </w:r>
      <w:r>
        <w:rPr>
          <w:rFonts w:ascii="Arial" w:hAnsi="Arial" w:cs="Arial"/>
          <w:sz w:val="22"/>
          <w:szCs w:val="22"/>
          <w:lang w:val="es-MX"/>
        </w:rPr>
        <w:t>dieciséis</w:t>
      </w:r>
      <w:r w:rsidRPr="00F93741">
        <w:rPr>
          <w:rFonts w:ascii="Arial" w:hAnsi="Arial" w:cs="Arial"/>
          <w:sz w:val="22"/>
          <w:szCs w:val="22"/>
          <w:lang w:val="es-MX"/>
        </w:rPr>
        <w:t>.- Doy fe.</w:t>
      </w:r>
    </w:p>
    <w:p w:rsidR="002A519E" w:rsidRDefault="002A519E" w:rsidP="002A519E">
      <w:pPr>
        <w:outlineLvl w:val="0"/>
        <w:rPr>
          <w:rFonts w:ascii="Arial" w:hAnsi="Arial" w:cs="Arial"/>
          <w:sz w:val="22"/>
          <w:szCs w:val="22"/>
        </w:rPr>
      </w:pPr>
    </w:p>
    <w:p w:rsidR="002A519E" w:rsidRDefault="002A519E" w:rsidP="002A519E">
      <w:pPr>
        <w:outlineLvl w:val="0"/>
        <w:rPr>
          <w:rFonts w:ascii="Arial" w:hAnsi="Arial" w:cs="Arial"/>
          <w:sz w:val="22"/>
          <w:szCs w:val="22"/>
        </w:rPr>
      </w:pPr>
    </w:p>
    <w:p w:rsidR="00540ED7" w:rsidRDefault="00540ED7" w:rsidP="002A519E">
      <w:pPr>
        <w:outlineLvl w:val="0"/>
        <w:rPr>
          <w:rFonts w:ascii="Arial" w:hAnsi="Arial" w:cs="Arial"/>
          <w:sz w:val="22"/>
          <w:szCs w:val="22"/>
        </w:rPr>
      </w:pPr>
    </w:p>
    <w:p w:rsidR="0007327F" w:rsidRDefault="0007327F" w:rsidP="002A519E">
      <w:pPr>
        <w:outlineLvl w:val="0"/>
        <w:rPr>
          <w:rFonts w:ascii="Arial" w:hAnsi="Arial" w:cs="Arial"/>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191"/>
      </w:tblGrid>
      <w:tr w:rsidR="002A519E" w:rsidTr="00B72383">
        <w:tc>
          <w:tcPr>
            <w:tcW w:w="4786" w:type="dxa"/>
          </w:tcPr>
          <w:p w:rsidR="002A519E" w:rsidRDefault="002A519E" w:rsidP="00B72383">
            <w:pPr>
              <w:outlineLvl w:val="0"/>
              <w:rPr>
                <w:rFonts w:ascii="Arial" w:hAnsi="Arial" w:cs="Arial"/>
                <w:b/>
                <w:sz w:val="22"/>
                <w:szCs w:val="22"/>
              </w:rPr>
            </w:pPr>
          </w:p>
          <w:p w:rsidR="002A519E" w:rsidRDefault="002A519E" w:rsidP="00B72383">
            <w:pPr>
              <w:outlineLvl w:val="0"/>
              <w:rPr>
                <w:rFonts w:ascii="Arial" w:hAnsi="Arial" w:cs="Arial"/>
                <w:b/>
                <w:sz w:val="22"/>
                <w:szCs w:val="22"/>
              </w:rPr>
            </w:pPr>
          </w:p>
          <w:p w:rsidR="002A519E" w:rsidRDefault="002A519E" w:rsidP="00B72383">
            <w:pPr>
              <w:outlineLvl w:val="0"/>
              <w:rPr>
                <w:rFonts w:ascii="Arial" w:hAnsi="Arial" w:cs="Arial"/>
                <w:b/>
                <w:sz w:val="22"/>
                <w:szCs w:val="22"/>
              </w:rPr>
            </w:pPr>
          </w:p>
          <w:p w:rsidR="002A519E" w:rsidRDefault="002A519E" w:rsidP="00B72383">
            <w:pPr>
              <w:outlineLvl w:val="0"/>
              <w:rPr>
                <w:rFonts w:ascii="Arial" w:hAnsi="Arial" w:cs="Arial"/>
                <w:b/>
                <w:sz w:val="22"/>
                <w:szCs w:val="22"/>
              </w:rPr>
            </w:pPr>
            <w:r>
              <w:rPr>
                <w:rFonts w:ascii="Arial" w:hAnsi="Arial" w:cs="Arial"/>
                <w:b/>
                <w:sz w:val="22"/>
                <w:szCs w:val="22"/>
              </w:rPr>
              <w:t xml:space="preserve">C. </w:t>
            </w:r>
            <w:r w:rsidRPr="0054027A">
              <w:rPr>
                <w:rFonts w:ascii="Arial" w:hAnsi="Arial" w:cs="Arial"/>
                <w:b/>
                <w:sz w:val="22"/>
                <w:szCs w:val="22"/>
              </w:rPr>
              <w:t>ADRIÁN EMILIO DE LA GARZA SANTOS</w:t>
            </w:r>
          </w:p>
          <w:p w:rsidR="002A519E" w:rsidRDefault="002A519E" w:rsidP="00B72383">
            <w:pPr>
              <w:ind w:left="708"/>
              <w:outlineLvl w:val="0"/>
              <w:rPr>
                <w:rFonts w:ascii="Arial" w:hAnsi="Arial" w:cs="Arial"/>
                <w:b/>
                <w:sz w:val="22"/>
                <w:szCs w:val="22"/>
              </w:rPr>
            </w:pPr>
            <w:r w:rsidRPr="0054027A">
              <w:rPr>
                <w:rFonts w:ascii="Arial" w:hAnsi="Arial" w:cs="Arial"/>
                <w:b/>
                <w:sz w:val="22"/>
                <w:szCs w:val="22"/>
              </w:rPr>
              <w:t>PRESIDENTE MUNICIPAL</w:t>
            </w:r>
          </w:p>
          <w:p w:rsidR="002A519E" w:rsidRDefault="008E2207" w:rsidP="008E2207">
            <w:pPr>
              <w:jc w:val="center"/>
              <w:outlineLvl w:val="0"/>
              <w:rPr>
                <w:rFonts w:ascii="Arial" w:hAnsi="Arial" w:cs="Arial"/>
                <w:b/>
                <w:sz w:val="22"/>
                <w:szCs w:val="22"/>
              </w:rPr>
            </w:pPr>
            <w:r>
              <w:rPr>
                <w:rFonts w:ascii="Arial" w:hAnsi="Arial" w:cs="Arial"/>
                <w:b/>
                <w:sz w:val="22"/>
                <w:szCs w:val="22"/>
              </w:rPr>
              <w:t>RÚBRICA</w:t>
            </w:r>
          </w:p>
          <w:p w:rsidR="002A519E" w:rsidRDefault="002A519E" w:rsidP="00B72383">
            <w:pPr>
              <w:ind w:left="708"/>
              <w:jc w:val="center"/>
              <w:outlineLvl w:val="0"/>
              <w:rPr>
                <w:rFonts w:ascii="Arial" w:hAnsi="Arial" w:cs="Arial"/>
                <w:sz w:val="22"/>
                <w:szCs w:val="22"/>
              </w:rPr>
            </w:pPr>
          </w:p>
        </w:tc>
        <w:tc>
          <w:tcPr>
            <w:tcW w:w="4191" w:type="dxa"/>
          </w:tcPr>
          <w:p w:rsidR="002A519E" w:rsidRDefault="002A519E" w:rsidP="00B72383">
            <w:pPr>
              <w:jc w:val="center"/>
              <w:outlineLvl w:val="0"/>
              <w:rPr>
                <w:rFonts w:ascii="Arial" w:hAnsi="Arial" w:cs="Arial"/>
                <w:b/>
                <w:sz w:val="22"/>
                <w:szCs w:val="22"/>
              </w:rPr>
            </w:pPr>
          </w:p>
          <w:p w:rsidR="002A519E" w:rsidRDefault="002A519E" w:rsidP="00B72383">
            <w:pPr>
              <w:jc w:val="center"/>
              <w:outlineLvl w:val="0"/>
              <w:rPr>
                <w:rFonts w:ascii="Arial" w:hAnsi="Arial" w:cs="Arial"/>
                <w:b/>
                <w:sz w:val="22"/>
                <w:szCs w:val="22"/>
              </w:rPr>
            </w:pPr>
          </w:p>
          <w:p w:rsidR="002A519E" w:rsidRDefault="002A519E" w:rsidP="00B72383">
            <w:pPr>
              <w:jc w:val="center"/>
              <w:outlineLvl w:val="0"/>
              <w:rPr>
                <w:rFonts w:ascii="Arial" w:hAnsi="Arial" w:cs="Arial"/>
                <w:b/>
                <w:sz w:val="22"/>
                <w:szCs w:val="22"/>
              </w:rPr>
            </w:pPr>
          </w:p>
          <w:p w:rsidR="002A519E" w:rsidRPr="00082EFE" w:rsidRDefault="002A519E" w:rsidP="00B72383">
            <w:pPr>
              <w:jc w:val="center"/>
              <w:outlineLvl w:val="0"/>
              <w:rPr>
                <w:rFonts w:ascii="Arial" w:hAnsi="Arial" w:cs="Arial"/>
                <w:b/>
                <w:sz w:val="22"/>
                <w:szCs w:val="22"/>
              </w:rPr>
            </w:pPr>
            <w:r w:rsidRPr="00082EFE">
              <w:rPr>
                <w:rFonts w:ascii="Arial" w:hAnsi="Arial" w:cs="Arial"/>
                <w:b/>
                <w:sz w:val="22"/>
                <w:szCs w:val="22"/>
              </w:rPr>
              <w:t xml:space="preserve">C. </w:t>
            </w:r>
            <w:r>
              <w:rPr>
                <w:rFonts w:ascii="Arial" w:hAnsi="Arial" w:cs="Arial"/>
                <w:b/>
                <w:sz w:val="22"/>
                <w:szCs w:val="22"/>
              </w:rPr>
              <w:t>ELISA ESTRADA TREVIÑO</w:t>
            </w:r>
          </w:p>
          <w:p w:rsidR="002A519E" w:rsidRDefault="002A519E" w:rsidP="00B72383">
            <w:pPr>
              <w:jc w:val="center"/>
              <w:outlineLvl w:val="0"/>
              <w:rPr>
                <w:rFonts w:ascii="Arial" w:hAnsi="Arial" w:cs="Arial"/>
                <w:b/>
                <w:sz w:val="22"/>
                <w:szCs w:val="22"/>
              </w:rPr>
            </w:pPr>
            <w:r w:rsidRPr="00082EFE">
              <w:rPr>
                <w:rFonts w:ascii="Arial" w:hAnsi="Arial" w:cs="Arial"/>
                <w:b/>
                <w:sz w:val="22"/>
                <w:szCs w:val="22"/>
              </w:rPr>
              <w:t>S</w:t>
            </w:r>
            <w:r>
              <w:rPr>
                <w:rFonts w:ascii="Arial" w:hAnsi="Arial" w:cs="Arial"/>
                <w:b/>
                <w:sz w:val="22"/>
                <w:szCs w:val="22"/>
              </w:rPr>
              <w:t>ÍNDICA SEGUNDA</w:t>
            </w:r>
          </w:p>
          <w:p w:rsidR="008E2207" w:rsidRDefault="008E2207" w:rsidP="00B72383">
            <w:pPr>
              <w:jc w:val="center"/>
              <w:outlineLvl w:val="0"/>
              <w:rPr>
                <w:rFonts w:ascii="Arial" w:hAnsi="Arial" w:cs="Arial"/>
                <w:b/>
                <w:sz w:val="22"/>
                <w:szCs w:val="22"/>
              </w:rPr>
            </w:pPr>
            <w:r>
              <w:rPr>
                <w:rFonts w:ascii="Arial" w:hAnsi="Arial" w:cs="Arial"/>
                <w:b/>
                <w:sz w:val="22"/>
                <w:szCs w:val="22"/>
              </w:rPr>
              <w:t>RÚBRICA</w:t>
            </w:r>
          </w:p>
          <w:p w:rsidR="002A519E" w:rsidRDefault="0007327F" w:rsidP="00B72383">
            <w:pPr>
              <w:ind w:left="708"/>
              <w:outlineLvl w:val="0"/>
              <w:rPr>
                <w:rFonts w:ascii="Arial" w:hAnsi="Arial" w:cs="Arial"/>
                <w:b/>
                <w:sz w:val="22"/>
                <w:szCs w:val="22"/>
              </w:rPr>
            </w:pPr>
            <w:r>
              <w:rPr>
                <w:rFonts w:ascii="Arial" w:hAnsi="Arial" w:cs="Arial"/>
                <w:b/>
                <w:sz w:val="22"/>
                <w:szCs w:val="22"/>
              </w:rPr>
              <w:t xml:space="preserve">              </w:t>
            </w:r>
          </w:p>
          <w:p w:rsidR="002A519E" w:rsidRDefault="002A519E" w:rsidP="00B72383">
            <w:pPr>
              <w:jc w:val="center"/>
              <w:outlineLvl w:val="0"/>
              <w:rPr>
                <w:rFonts w:ascii="Arial" w:hAnsi="Arial" w:cs="Arial"/>
                <w:b/>
                <w:sz w:val="22"/>
                <w:szCs w:val="22"/>
              </w:rPr>
            </w:pPr>
          </w:p>
          <w:p w:rsidR="002A519E" w:rsidRDefault="002A519E" w:rsidP="00B72383">
            <w:pPr>
              <w:jc w:val="center"/>
              <w:outlineLvl w:val="0"/>
              <w:rPr>
                <w:rFonts w:ascii="Arial" w:hAnsi="Arial" w:cs="Arial"/>
                <w:sz w:val="22"/>
                <w:szCs w:val="22"/>
              </w:rPr>
            </w:pPr>
          </w:p>
        </w:tc>
      </w:tr>
    </w:tbl>
    <w:p w:rsidR="002A519E" w:rsidRDefault="002A519E" w:rsidP="002A519E">
      <w:pPr>
        <w:outlineLvl w:val="0"/>
        <w:rPr>
          <w:rFonts w:ascii="Arial" w:hAnsi="Arial" w:cs="Arial"/>
          <w:sz w:val="22"/>
          <w:szCs w:val="22"/>
        </w:rPr>
      </w:pPr>
    </w:p>
    <w:p w:rsidR="002A519E" w:rsidRDefault="002A519E" w:rsidP="002A519E">
      <w:pPr>
        <w:jc w:val="center"/>
        <w:outlineLvl w:val="0"/>
        <w:rPr>
          <w:rFonts w:ascii="Arial" w:hAnsi="Arial" w:cs="Arial"/>
          <w:sz w:val="22"/>
          <w:szCs w:val="22"/>
        </w:rPr>
      </w:pPr>
    </w:p>
    <w:p w:rsidR="0007327F" w:rsidRDefault="0007327F" w:rsidP="002A519E">
      <w:pPr>
        <w:jc w:val="center"/>
        <w:outlineLvl w:val="0"/>
        <w:rPr>
          <w:rFonts w:ascii="Arial" w:hAnsi="Arial" w:cs="Arial"/>
          <w:sz w:val="22"/>
          <w:szCs w:val="22"/>
        </w:rPr>
      </w:pPr>
    </w:p>
    <w:p w:rsidR="00540ED7" w:rsidRDefault="00540ED7" w:rsidP="002A519E">
      <w:pPr>
        <w:jc w:val="center"/>
        <w:outlineLvl w:val="0"/>
        <w:rPr>
          <w:rFonts w:ascii="Arial" w:hAnsi="Arial" w:cs="Arial"/>
          <w:sz w:val="22"/>
          <w:szCs w:val="22"/>
        </w:rPr>
      </w:pPr>
    </w:p>
    <w:p w:rsidR="0007327F" w:rsidRDefault="0007327F" w:rsidP="002A519E">
      <w:pPr>
        <w:jc w:val="center"/>
        <w:outlineLvl w:val="0"/>
        <w:rPr>
          <w:rFonts w:ascii="Arial" w:hAnsi="Arial" w:cs="Arial"/>
          <w:sz w:val="22"/>
          <w:szCs w:val="22"/>
        </w:rPr>
      </w:pPr>
    </w:p>
    <w:p w:rsidR="002A519E" w:rsidRDefault="002A519E" w:rsidP="002A519E">
      <w:pPr>
        <w:jc w:val="center"/>
        <w:outlineLvl w:val="0"/>
        <w:rPr>
          <w:rFonts w:ascii="Arial" w:hAnsi="Arial" w:cs="Arial"/>
          <w:sz w:val="22"/>
          <w:szCs w:val="22"/>
        </w:rPr>
      </w:pPr>
    </w:p>
    <w:p w:rsidR="002A519E" w:rsidRPr="00BA7CB3" w:rsidRDefault="002A519E" w:rsidP="002A519E">
      <w:pPr>
        <w:jc w:val="center"/>
        <w:outlineLvl w:val="0"/>
        <w:rPr>
          <w:rFonts w:ascii="Arial" w:hAnsi="Arial" w:cs="Arial"/>
          <w:b/>
          <w:sz w:val="22"/>
          <w:szCs w:val="22"/>
        </w:rPr>
      </w:pPr>
      <w:r>
        <w:rPr>
          <w:rFonts w:ascii="Arial" w:hAnsi="Arial" w:cs="Arial"/>
          <w:b/>
          <w:sz w:val="22"/>
          <w:szCs w:val="22"/>
        </w:rPr>
        <w:t xml:space="preserve">C. </w:t>
      </w:r>
      <w:r w:rsidRPr="00BA7CB3">
        <w:rPr>
          <w:rFonts w:ascii="Arial" w:hAnsi="Arial" w:cs="Arial"/>
          <w:b/>
          <w:sz w:val="22"/>
          <w:szCs w:val="22"/>
        </w:rPr>
        <w:t>GENARO GARCÍA DE LA GARZA</w:t>
      </w:r>
    </w:p>
    <w:p w:rsidR="002A519E" w:rsidRDefault="002A519E" w:rsidP="0007327F">
      <w:pPr>
        <w:jc w:val="center"/>
        <w:outlineLvl w:val="0"/>
        <w:rPr>
          <w:rFonts w:ascii="Arial" w:hAnsi="Arial" w:cs="Arial"/>
          <w:b/>
          <w:sz w:val="22"/>
          <w:szCs w:val="22"/>
        </w:rPr>
      </w:pPr>
      <w:r>
        <w:rPr>
          <w:rFonts w:ascii="Arial" w:hAnsi="Arial" w:cs="Arial"/>
          <w:b/>
          <w:sz w:val="22"/>
          <w:szCs w:val="22"/>
        </w:rPr>
        <w:t xml:space="preserve">  </w:t>
      </w:r>
      <w:r w:rsidRPr="00BA7CB3">
        <w:rPr>
          <w:rFonts w:ascii="Arial" w:hAnsi="Arial" w:cs="Arial"/>
          <w:b/>
          <w:sz w:val="22"/>
          <w:szCs w:val="22"/>
        </w:rPr>
        <w:t>SECRETARIO DEL AYUNTAMIENTO</w:t>
      </w:r>
    </w:p>
    <w:p w:rsidR="008E2207" w:rsidRDefault="008E2207" w:rsidP="0007327F">
      <w:pPr>
        <w:jc w:val="center"/>
        <w:outlineLvl w:val="0"/>
        <w:rPr>
          <w:rFonts w:ascii="Arial" w:hAnsi="Arial" w:cs="Arial"/>
          <w:b/>
          <w:sz w:val="22"/>
          <w:szCs w:val="22"/>
        </w:rPr>
      </w:pPr>
      <w:r>
        <w:rPr>
          <w:rFonts w:ascii="Arial" w:hAnsi="Arial" w:cs="Arial"/>
          <w:b/>
          <w:sz w:val="22"/>
          <w:szCs w:val="22"/>
        </w:rPr>
        <w:t>RÚBRICA</w:t>
      </w:r>
    </w:p>
    <w:p w:rsidR="002A519E" w:rsidRDefault="002A519E" w:rsidP="00665F63">
      <w:pPr>
        <w:jc w:val="center"/>
        <w:rPr>
          <w:rFonts w:ascii="Arial" w:hAnsi="Arial" w:cs="Arial"/>
          <w:sz w:val="22"/>
          <w:szCs w:val="22"/>
        </w:rPr>
      </w:pPr>
    </w:p>
    <w:sectPr w:rsidR="002A519E" w:rsidSect="00FF6E49">
      <w:headerReference w:type="default" r:id="rId108"/>
      <w:footerReference w:type="default" r:id="rId109"/>
      <w:pgSz w:w="12240" w:h="15840"/>
      <w:pgMar w:top="1276" w:right="1750" w:bottom="1417" w:left="1701"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0F96" w:rsidRDefault="00360F96" w:rsidP="00662A5D">
      <w:r>
        <w:separator/>
      </w:r>
    </w:p>
  </w:endnote>
  <w:endnote w:type="continuationSeparator" w:id="0">
    <w:p w:rsidR="00360F96" w:rsidRDefault="00360F96" w:rsidP="00662A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Helvetica">
    <w:panose1 w:val="000B05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2687E">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72383" w:rsidRDefault="00B72383" w:rsidP="0022687E">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877569"/>
      <w:docPartObj>
        <w:docPartGallery w:val="Page Numbers (Bottom of Page)"/>
        <w:docPartUnique/>
      </w:docPartObj>
    </w:sdtPr>
    <w:sdtEndPr/>
    <w:sdtContent>
      <w:sdt>
        <w:sdtPr>
          <w:id w:val="102082671"/>
          <w:docPartObj>
            <w:docPartGallery w:val="Page Numbers (Top of Page)"/>
            <w:docPartUnique/>
          </w:docPartObj>
        </w:sdtPr>
        <w:sdtEndPr/>
        <w:sdtContent>
          <w:p w:rsidR="00B72383" w:rsidRDefault="00B72383">
            <w:pPr>
              <w:pStyle w:val="Piedepgina"/>
              <w:jc w:val="right"/>
            </w:pPr>
            <w:r>
              <w:t xml:space="preserve">   </w:t>
            </w:r>
            <w:r w:rsidRPr="002A21B8">
              <w:rPr>
                <w:rFonts w:ascii="Arial" w:hAnsi="Arial" w:cs="Arial"/>
                <w:sz w:val="18"/>
              </w:rPr>
              <w:t xml:space="preserve">Página </w:t>
            </w:r>
            <w:r w:rsidRPr="002A21B8">
              <w:rPr>
                <w:rFonts w:ascii="Arial" w:hAnsi="Arial" w:cs="Arial"/>
                <w:b/>
                <w:bCs/>
                <w:sz w:val="18"/>
              </w:rPr>
              <w:fldChar w:fldCharType="begin"/>
            </w:r>
            <w:r w:rsidRPr="002A21B8">
              <w:rPr>
                <w:rFonts w:ascii="Arial" w:hAnsi="Arial" w:cs="Arial"/>
                <w:b/>
                <w:bCs/>
                <w:sz w:val="18"/>
              </w:rPr>
              <w:instrText>PAGE</w:instrText>
            </w:r>
            <w:r w:rsidRPr="002A21B8">
              <w:rPr>
                <w:rFonts w:ascii="Arial" w:hAnsi="Arial" w:cs="Arial"/>
                <w:b/>
                <w:bCs/>
                <w:sz w:val="18"/>
              </w:rPr>
              <w:fldChar w:fldCharType="separate"/>
            </w:r>
            <w:r w:rsidR="0012229B">
              <w:rPr>
                <w:rFonts w:ascii="Arial" w:hAnsi="Arial" w:cs="Arial"/>
                <w:b/>
                <w:bCs/>
                <w:noProof/>
                <w:sz w:val="18"/>
              </w:rPr>
              <w:t>3</w:t>
            </w:r>
            <w:r w:rsidRPr="002A21B8">
              <w:rPr>
                <w:rFonts w:ascii="Arial" w:hAnsi="Arial" w:cs="Arial"/>
                <w:b/>
                <w:bCs/>
                <w:sz w:val="18"/>
              </w:rPr>
              <w:fldChar w:fldCharType="end"/>
            </w:r>
            <w:r w:rsidRPr="002A21B8">
              <w:rPr>
                <w:rFonts w:ascii="Arial" w:hAnsi="Arial" w:cs="Arial"/>
                <w:sz w:val="18"/>
              </w:rPr>
              <w:t xml:space="preserve"> de </w:t>
            </w:r>
            <w:r w:rsidRPr="002A21B8">
              <w:rPr>
                <w:rFonts w:ascii="Arial" w:hAnsi="Arial" w:cs="Arial"/>
                <w:b/>
                <w:bCs/>
                <w:sz w:val="18"/>
              </w:rPr>
              <w:fldChar w:fldCharType="begin"/>
            </w:r>
            <w:r w:rsidRPr="002A21B8">
              <w:rPr>
                <w:rFonts w:ascii="Arial" w:hAnsi="Arial" w:cs="Arial"/>
                <w:b/>
                <w:bCs/>
                <w:sz w:val="18"/>
              </w:rPr>
              <w:instrText>NUMPAGES</w:instrText>
            </w:r>
            <w:r w:rsidRPr="002A21B8">
              <w:rPr>
                <w:rFonts w:ascii="Arial" w:hAnsi="Arial" w:cs="Arial"/>
                <w:b/>
                <w:bCs/>
                <w:sz w:val="18"/>
              </w:rPr>
              <w:fldChar w:fldCharType="separate"/>
            </w:r>
            <w:r w:rsidR="0012229B">
              <w:rPr>
                <w:rFonts w:ascii="Arial" w:hAnsi="Arial" w:cs="Arial"/>
                <w:b/>
                <w:bCs/>
                <w:noProof/>
                <w:sz w:val="18"/>
              </w:rPr>
              <w:t>109</w:t>
            </w:r>
            <w:r w:rsidRPr="002A21B8">
              <w:rPr>
                <w:rFonts w:ascii="Arial" w:hAnsi="Arial" w:cs="Arial"/>
                <w:b/>
                <w:bCs/>
                <w:sz w:val="18"/>
              </w:rPr>
              <w:fldChar w:fldCharType="end"/>
            </w:r>
          </w:p>
        </w:sdtContent>
      </w:sdt>
    </w:sdtContent>
  </w:sdt>
  <w:p w:rsidR="00B72383" w:rsidRPr="00330291" w:rsidRDefault="00B72383" w:rsidP="00235C2F">
    <w:pPr>
      <w:pStyle w:val="Piedepgina"/>
      <w:ind w:right="360"/>
      <w:jc w:val="center"/>
      <w:rPr>
        <w:rFonts w:asciiTheme="majorHAnsi" w:hAnsiTheme="majorHAnsi"/>
        <w:b/>
        <w:color w:val="C0504D" w:themeColor="accent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1575025"/>
      <w:docPartObj>
        <w:docPartGallery w:val="Page Numbers (Bottom of Page)"/>
        <w:docPartUnique/>
      </w:docPartObj>
    </w:sdtPr>
    <w:sdtEndPr/>
    <w:sdtContent>
      <w:sdt>
        <w:sdtPr>
          <w:id w:val="860082579"/>
          <w:docPartObj>
            <w:docPartGallery w:val="Page Numbers (Top of Page)"/>
            <w:docPartUnique/>
          </w:docPartObj>
        </w:sdtPr>
        <w:sdtEndPr/>
        <w:sdtContent>
          <w:p w:rsidR="00B72383" w:rsidRDefault="00B72383">
            <w:pPr>
              <w:pStyle w:val="Piedepgina"/>
              <w:jc w:val="right"/>
            </w:pPr>
            <w:r w:rsidRPr="00665F63">
              <w:rPr>
                <w:rFonts w:ascii="Arial" w:hAnsi="Arial" w:cs="Arial"/>
                <w:sz w:val="16"/>
              </w:rPr>
              <w:t xml:space="preserve">Página </w:t>
            </w:r>
            <w:r w:rsidRPr="00665F63">
              <w:rPr>
                <w:rFonts w:ascii="Arial" w:hAnsi="Arial" w:cs="Arial"/>
                <w:b/>
                <w:bCs/>
                <w:sz w:val="16"/>
              </w:rPr>
              <w:fldChar w:fldCharType="begin"/>
            </w:r>
            <w:r w:rsidRPr="00665F63">
              <w:rPr>
                <w:rFonts w:ascii="Arial" w:hAnsi="Arial" w:cs="Arial"/>
                <w:b/>
                <w:bCs/>
                <w:sz w:val="16"/>
              </w:rPr>
              <w:instrText>PAGE</w:instrText>
            </w:r>
            <w:r w:rsidRPr="00665F63">
              <w:rPr>
                <w:rFonts w:ascii="Arial" w:hAnsi="Arial" w:cs="Arial"/>
                <w:b/>
                <w:bCs/>
                <w:sz w:val="16"/>
              </w:rPr>
              <w:fldChar w:fldCharType="separate"/>
            </w:r>
            <w:r w:rsidR="0012229B">
              <w:rPr>
                <w:rFonts w:ascii="Arial" w:hAnsi="Arial" w:cs="Arial"/>
                <w:b/>
                <w:bCs/>
                <w:noProof/>
                <w:sz w:val="16"/>
              </w:rPr>
              <w:t>109</w:t>
            </w:r>
            <w:r w:rsidRPr="00665F63">
              <w:rPr>
                <w:rFonts w:ascii="Arial" w:hAnsi="Arial" w:cs="Arial"/>
                <w:b/>
                <w:bCs/>
                <w:sz w:val="16"/>
              </w:rPr>
              <w:fldChar w:fldCharType="end"/>
            </w:r>
            <w:r w:rsidRPr="00665F63">
              <w:rPr>
                <w:rFonts w:ascii="Arial" w:hAnsi="Arial" w:cs="Arial"/>
                <w:sz w:val="16"/>
              </w:rPr>
              <w:t xml:space="preserve"> de </w:t>
            </w:r>
            <w:r w:rsidRPr="00665F63">
              <w:rPr>
                <w:rFonts w:ascii="Arial" w:hAnsi="Arial" w:cs="Arial"/>
                <w:b/>
                <w:bCs/>
                <w:sz w:val="16"/>
              </w:rPr>
              <w:fldChar w:fldCharType="begin"/>
            </w:r>
            <w:r w:rsidRPr="00665F63">
              <w:rPr>
                <w:rFonts w:ascii="Arial" w:hAnsi="Arial" w:cs="Arial"/>
                <w:b/>
                <w:bCs/>
                <w:sz w:val="16"/>
              </w:rPr>
              <w:instrText>NUMPAGES</w:instrText>
            </w:r>
            <w:r w:rsidRPr="00665F63">
              <w:rPr>
                <w:rFonts w:ascii="Arial" w:hAnsi="Arial" w:cs="Arial"/>
                <w:b/>
                <w:bCs/>
                <w:sz w:val="16"/>
              </w:rPr>
              <w:fldChar w:fldCharType="separate"/>
            </w:r>
            <w:r w:rsidR="0012229B">
              <w:rPr>
                <w:rFonts w:ascii="Arial" w:hAnsi="Arial" w:cs="Arial"/>
                <w:b/>
                <w:bCs/>
                <w:noProof/>
                <w:sz w:val="16"/>
              </w:rPr>
              <w:t>109</w:t>
            </w:r>
            <w:r w:rsidRPr="00665F63">
              <w:rPr>
                <w:rFonts w:ascii="Arial" w:hAnsi="Arial" w:cs="Arial"/>
                <w:b/>
                <w:bCs/>
                <w:sz w:val="16"/>
              </w:rPr>
              <w:fldChar w:fldCharType="end"/>
            </w:r>
          </w:p>
        </w:sdtContent>
      </w:sdt>
    </w:sdtContent>
  </w:sdt>
  <w:p w:rsidR="00B72383" w:rsidRPr="0022687E" w:rsidRDefault="00B72383" w:rsidP="00BA6D82">
    <w:pPr>
      <w:pStyle w:val="Piedepgina"/>
      <w:tabs>
        <w:tab w:val="clear" w:pos="4419"/>
        <w:tab w:val="clear" w:pos="8838"/>
        <w:tab w:val="left" w:pos="6448"/>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0F96" w:rsidRDefault="00360F96" w:rsidP="00662A5D">
      <w:r>
        <w:separator/>
      </w:r>
    </w:p>
  </w:footnote>
  <w:footnote w:type="continuationSeparator" w:id="0">
    <w:p w:rsidR="00360F96" w:rsidRDefault="00360F96" w:rsidP="00662A5D">
      <w:r>
        <w:continuationSeparator/>
      </w:r>
    </w:p>
  </w:footnote>
  <w:footnote w:id="1">
    <w:p w:rsidR="00B72383" w:rsidRPr="00410249" w:rsidRDefault="00B72383" w:rsidP="0022687E">
      <w:pPr>
        <w:pStyle w:val="Textonotapie"/>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La Ley de Desarrollo Urbano del Estado de Nuevo León, en su artículo 5, fracción LXVIII, define la zona metropolitana como el “[c]</w:t>
      </w:r>
      <w:proofErr w:type="spellStart"/>
      <w:r w:rsidRPr="00410249">
        <w:rPr>
          <w:rFonts w:ascii="Arial" w:hAnsi="Arial" w:cs="Arial"/>
          <w:sz w:val="22"/>
          <w:szCs w:val="22"/>
        </w:rPr>
        <w:t>onjunto</w:t>
      </w:r>
      <w:proofErr w:type="spellEnd"/>
      <w:r w:rsidRPr="00410249">
        <w:rPr>
          <w:rFonts w:ascii="Arial" w:hAnsi="Arial" w:cs="Arial"/>
          <w:sz w:val="22"/>
          <w:szCs w:val="22"/>
        </w:rPr>
        <w:t xml:space="preserve"> de dos o más municipios donde se localiza una ciudad de cincuenta mil o más habitantes cuya área urbana, funciones y actividades rebasan el límite del Municipio que originalmente la contenía, incorporando como parte de sí misma o de su área de influencia directa a municipios vecinos, con los que mantiene un alto grado de integración socioeconómica”. Según el Decreto de 23 de enero de 1984, publicado en el Periódico Oficial del Estado de Nuevo León, que declara la existencia de la zona conurbada “Área Metropolitana de Monterrey” establece que esta se integra por los municipios de Monterrey, San Nicolás de los Garza, Apodaca, Guadalupe, Garza García, Santa Catarina y General Escobedo. De conformidad con el Congreso del Estado de Nuevo León (2009), la Secretaría de Desarrollo Social (SEDESOL), el Instituto Nacional de Estadística y Geografía, y el Consejo Nacional de Población (CONAPO), realizaron el primer esfuerzo por contar con una delimitación exhaustiva y sistemática de las zonas metropolitanas del país, en 2004. Establecieron, entre otras, la ZMM, integrada por los doce municipios de Apodaca, Cadereyta Jiménez, Juárez, García, General Escobedo, Guadalupe, Monterrey, Salinas Victoria, Santa Catarina, San Nicolás de los Garza, San Pedro Garza García, y Santiago, Nuevo León. Sin embargo, en un estudio más reciente publicado por el Fondo Nacional de Infraestructura (FONADIN) y realizado por Servicios de Agua y Drenaje de Monterrey I. P. D. (s/f), se considera que la ZMM abarca los siguientes dieciséis municipios: Apodaca, García, General Escobedo, Guadalupe, Juárez, Monterrey, Santa Catarina, San Nicolás de los Garza, San Pedro Garza García, Cadereyta Jiménez, Pesquería, Santiago, Ciénega de Flores, Carmen, General Zuazua y Salinas Victoria.</w:t>
      </w:r>
    </w:p>
  </w:footnote>
  <w:footnote w:id="2">
    <w:p w:rsidR="00B72383" w:rsidRPr="00410249" w:rsidRDefault="00B72383" w:rsidP="0022687E">
      <w:pPr>
        <w:pStyle w:val="Textonotapie"/>
        <w:jc w:val="both"/>
        <w:rPr>
          <w:rFonts w:ascii="Arial" w:hAnsi="Arial" w:cs="Arial"/>
          <w:sz w:val="22"/>
          <w:szCs w:val="22"/>
          <w:lang w:val="es-ES"/>
        </w:rPr>
      </w:pPr>
      <w:r w:rsidRPr="00410249">
        <w:rPr>
          <w:rStyle w:val="Refdenotaalpie"/>
          <w:rFonts w:ascii="Arial" w:hAnsi="Arial" w:cs="Arial"/>
          <w:sz w:val="22"/>
          <w:szCs w:val="22"/>
        </w:rPr>
        <w:footnoteRef/>
      </w:r>
      <w:r w:rsidRPr="00410249">
        <w:rPr>
          <w:rFonts w:ascii="Arial" w:hAnsi="Arial" w:cs="Arial"/>
          <w:sz w:val="22"/>
          <w:szCs w:val="22"/>
        </w:rPr>
        <w:t xml:space="preserve"> </w:t>
      </w:r>
      <w:r w:rsidRPr="00410249">
        <w:rPr>
          <w:rFonts w:ascii="Arial" w:hAnsi="Arial" w:cs="Arial"/>
          <w:sz w:val="22"/>
          <w:szCs w:val="22"/>
          <w:lang w:val="es-ES"/>
        </w:rPr>
        <w:t>Según los porcentajes reportados por INEGI la extensión territorial sería mayor a los 323.60 km</w:t>
      </w:r>
      <w:r w:rsidRPr="00410249">
        <w:rPr>
          <w:rFonts w:ascii="Arial" w:hAnsi="Arial" w:cs="Arial"/>
          <w:sz w:val="22"/>
          <w:szCs w:val="22"/>
          <w:vertAlign w:val="superscript"/>
          <w:lang w:val="es-ES"/>
        </w:rPr>
        <w:t>2</w:t>
      </w:r>
      <w:r w:rsidRPr="00410249">
        <w:rPr>
          <w:rFonts w:ascii="Arial" w:hAnsi="Arial" w:cs="Arial"/>
          <w:sz w:val="22"/>
          <w:szCs w:val="22"/>
          <w:lang w:val="es-ES"/>
        </w:rPr>
        <w:t>.</w:t>
      </w:r>
    </w:p>
    <w:p w:rsidR="00B72383" w:rsidRPr="00410249" w:rsidRDefault="00B72383" w:rsidP="0022687E">
      <w:pPr>
        <w:pStyle w:val="Textonotapie"/>
        <w:jc w:val="both"/>
        <w:rPr>
          <w:rFonts w:ascii="Arial" w:hAnsi="Arial" w:cs="Arial"/>
          <w:sz w:val="22"/>
          <w:szCs w:val="22"/>
          <w:lang w:val="es-ES"/>
        </w:rPr>
      </w:pPr>
    </w:p>
  </w:footnote>
  <w:footnote w:id="3">
    <w:p w:rsidR="00B72383" w:rsidRPr="00410249" w:rsidRDefault="00B72383" w:rsidP="0022687E">
      <w:pPr>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Dentro del Informe de Actividades 2014 de la Unidad de Mejora Regulatoria del Estatal ([UMRE], 2014), se ubicó a Monterrey y San Pedro Garza García como los dos municipios susceptibles para la implementación del Programa Piloto para la Simplificación del Proceso para la Obtención de Permisos de Construcción de manera coordinada con la Comisión Federal de Mejora Regulatoria (COFEMER) y la UMRE, al tratarse de un proceso de alto impacto, sujeto a análisis de estudio por proyectos diversos, entre los que destacan </w:t>
      </w:r>
      <w:proofErr w:type="spellStart"/>
      <w:r w:rsidRPr="00410249">
        <w:rPr>
          <w:rFonts w:ascii="Arial" w:hAnsi="Arial" w:cs="Arial"/>
          <w:i/>
          <w:sz w:val="22"/>
          <w:szCs w:val="22"/>
        </w:rPr>
        <w:t>Doing</w:t>
      </w:r>
      <w:proofErr w:type="spellEnd"/>
      <w:r w:rsidRPr="00410249">
        <w:rPr>
          <w:rFonts w:ascii="Arial" w:hAnsi="Arial" w:cs="Arial"/>
          <w:i/>
          <w:sz w:val="22"/>
          <w:szCs w:val="22"/>
        </w:rPr>
        <w:t xml:space="preserve"> Business</w:t>
      </w:r>
      <w:r w:rsidRPr="00410249">
        <w:rPr>
          <w:rFonts w:ascii="Arial" w:hAnsi="Arial" w:cs="Arial"/>
          <w:sz w:val="22"/>
          <w:szCs w:val="22"/>
        </w:rPr>
        <w:t>. En ese sentido, la COFEMER formuló una propuesta de simplificación tomando como base principal la internalización del proceso de emisión de la licencia de construcción por medio de una “Ventanilla Única de Construcción”, en donde se realicen simultáneamente tres trámites municipales del proceso completo de obtención de la licencia de construcción en un solo punto y de manera simultánea.</w:t>
      </w:r>
    </w:p>
  </w:footnote>
  <w:footnote w:id="4">
    <w:p w:rsidR="00B72383" w:rsidRPr="00410249" w:rsidRDefault="00B72383" w:rsidP="0022687E">
      <w:pPr>
        <w:pStyle w:val="Textonotapie"/>
        <w:jc w:val="both"/>
        <w:rPr>
          <w:rFonts w:ascii="Arial" w:hAnsi="Arial" w:cs="Arial"/>
          <w:sz w:val="22"/>
          <w:szCs w:val="22"/>
          <w:lang w:val="es-ES"/>
        </w:rPr>
      </w:pPr>
      <w:r w:rsidRPr="00410249">
        <w:rPr>
          <w:rStyle w:val="Refdenotaalpie"/>
          <w:rFonts w:ascii="Arial" w:hAnsi="Arial" w:cs="Arial"/>
          <w:sz w:val="22"/>
          <w:szCs w:val="22"/>
        </w:rPr>
        <w:footnoteRef/>
      </w:r>
      <w:r w:rsidRPr="00410249">
        <w:rPr>
          <w:rFonts w:ascii="Arial" w:hAnsi="Arial" w:cs="Arial"/>
          <w:sz w:val="22"/>
          <w:szCs w:val="22"/>
        </w:rPr>
        <w:t xml:space="preserve"> </w:t>
      </w:r>
      <w:r w:rsidRPr="00410249">
        <w:rPr>
          <w:rFonts w:ascii="Arial" w:hAnsi="Arial" w:cs="Arial"/>
          <w:sz w:val="22"/>
          <w:szCs w:val="22"/>
          <w:lang w:val="es-ES"/>
        </w:rPr>
        <w:t xml:space="preserve"> Según los porcentajes reportados por la SEDESOL, la cantidad de habitantes sería menor a los 1’335,550.</w:t>
      </w:r>
    </w:p>
  </w:footnote>
  <w:footnote w:id="5">
    <w:p w:rsidR="00B72383" w:rsidRPr="00410249" w:rsidRDefault="00B72383" w:rsidP="0022687E">
      <w:pPr>
        <w:pStyle w:val="Textonotapie"/>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Las dificultades o limitaciones de una actividad no excluyen dificultades o limitaciones en el resto de las actividades mencionadas. </w:t>
      </w:r>
    </w:p>
  </w:footnote>
  <w:footnote w:id="6">
    <w:p w:rsidR="00B72383" w:rsidRPr="00410249" w:rsidRDefault="00B72383" w:rsidP="0022687E">
      <w:pPr>
        <w:pStyle w:val="Textonotapie"/>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Los recursos proyectados para la ejecución de los </w:t>
      </w:r>
      <w:proofErr w:type="spellStart"/>
      <w:r w:rsidRPr="00410249">
        <w:rPr>
          <w:rFonts w:ascii="Arial" w:hAnsi="Arial" w:cs="Arial"/>
          <w:sz w:val="22"/>
          <w:szCs w:val="22"/>
        </w:rPr>
        <w:t>proyctos</w:t>
      </w:r>
      <w:proofErr w:type="spellEnd"/>
      <w:r w:rsidRPr="00410249">
        <w:rPr>
          <w:rFonts w:ascii="Arial" w:hAnsi="Arial" w:cs="Arial"/>
          <w:sz w:val="22"/>
          <w:szCs w:val="22"/>
        </w:rPr>
        <w:t xml:space="preserve">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7">
    <w:p w:rsidR="00B72383" w:rsidRPr="00410249" w:rsidRDefault="00B72383" w:rsidP="0022687E">
      <w:pPr>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OSZLAK, Oscar, </w:t>
      </w:r>
      <w:r w:rsidRPr="00410249">
        <w:rPr>
          <w:rFonts w:ascii="Arial" w:hAnsi="Arial" w:cs="Arial"/>
          <w:i/>
          <w:sz w:val="22"/>
          <w:szCs w:val="22"/>
        </w:rPr>
        <w:t xml:space="preserve">Gobierno abierto: hacia un nuevo paradigma de gestión pública, </w:t>
      </w:r>
      <w:r w:rsidRPr="00410249">
        <w:rPr>
          <w:rFonts w:ascii="Arial" w:hAnsi="Arial" w:cs="Arial"/>
          <w:sz w:val="22"/>
          <w:szCs w:val="22"/>
        </w:rPr>
        <w:t xml:space="preserve">Red de Gobierno Electrónico de América Latina y el Caribe – Red GEALC, Septiembre de 2013, disponible en: </w:t>
      </w:r>
      <w:hyperlink r:id="rId1" w:history="1">
        <w:r w:rsidRPr="00410249">
          <w:rPr>
            <w:rStyle w:val="Hipervnculo"/>
            <w:rFonts w:ascii="Arial" w:hAnsi="Arial" w:cs="Arial"/>
            <w:sz w:val="22"/>
            <w:szCs w:val="22"/>
          </w:rPr>
          <w:t>www.oas.org/es/sap/dgpe/pub/coleccion5RG.pdf</w:t>
        </w:r>
      </w:hyperlink>
      <w:r w:rsidRPr="00410249">
        <w:rPr>
          <w:rFonts w:ascii="Arial" w:hAnsi="Arial" w:cs="Arial"/>
          <w:sz w:val="22"/>
          <w:szCs w:val="22"/>
        </w:rPr>
        <w:t xml:space="preserve">, fecha de consulta 15 de noviembre de 2015. </w:t>
      </w:r>
    </w:p>
    <w:p w:rsidR="00B72383" w:rsidRPr="00410249" w:rsidRDefault="00B72383" w:rsidP="0022687E">
      <w:pPr>
        <w:pStyle w:val="Textonotapie"/>
        <w:jc w:val="both"/>
        <w:rPr>
          <w:rFonts w:ascii="Arial" w:hAnsi="Arial" w:cs="Arial"/>
          <w:sz w:val="22"/>
          <w:szCs w:val="22"/>
        </w:rPr>
      </w:pPr>
    </w:p>
  </w:footnote>
  <w:footnote w:id="8">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9">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10">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11">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12">
    <w:p w:rsidR="00B72383" w:rsidRDefault="00B72383" w:rsidP="0022687E">
      <w:pPr>
        <w:pStyle w:val="Textonotapie"/>
        <w:tabs>
          <w:tab w:val="left" w:pos="5812"/>
        </w:tabs>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6704" behindDoc="1" locked="0" layoutInCell="1" allowOverlap="1" wp14:anchorId="58216205" wp14:editId="13BA3010">
          <wp:simplePos x="0" y="0"/>
          <wp:positionH relativeFrom="column">
            <wp:posOffset>2038985</wp:posOffset>
          </wp:positionH>
          <wp:positionV relativeFrom="paragraph">
            <wp:posOffset>3810</wp:posOffset>
          </wp:positionV>
          <wp:extent cx="1323833" cy="1268391"/>
          <wp:effectExtent l="0" t="0" r="0" b="8255"/>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833" cy="12683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8752" behindDoc="0" locked="0" layoutInCell="1" allowOverlap="1" wp14:anchorId="1C27FF9A" wp14:editId="4585707D">
          <wp:simplePos x="0" y="0"/>
          <wp:positionH relativeFrom="column">
            <wp:posOffset>2181225</wp:posOffset>
          </wp:positionH>
          <wp:positionV relativeFrom="paragraph">
            <wp:posOffset>78740</wp:posOffset>
          </wp:positionV>
          <wp:extent cx="1186815" cy="1137285"/>
          <wp:effectExtent l="0" t="0" r="0" b="5715"/>
          <wp:wrapTopAndBottom/>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6815" cy="1137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235C2F" w:rsidRDefault="00B72383" w:rsidP="00235C2F">
    <w:pPr>
      <w:pStyle w:val="Encabezado"/>
      <w:rPr>
        <w:lang w:val="es-MX"/>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7216" behindDoc="1" locked="0" layoutInCell="1" allowOverlap="1" wp14:anchorId="076A95A5" wp14:editId="1EFB8282">
          <wp:simplePos x="0" y="0"/>
          <wp:positionH relativeFrom="column">
            <wp:posOffset>3938019</wp:posOffset>
          </wp:positionH>
          <wp:positionV relativeFrom="paragraph">
            <wp:posOffset>-31483</wp:posOffset>
          </wp:positionV>
          <wp:extent cx="1187413" cy="1137684"/>
          <wp:effectExtent l="0" t="0" r="0" b="5715"/>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3722" cy="11437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AA1BF0">
    <w:pPr>
      <w:tabs>
        <w:tab w:val="center" w:pos="4419"/>
        <w:tab w:val="right" w:pos="8838"/>
      </w:tabs>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235C2F" w:rsidRDefault="00B72383" w:rsidP="00235C2F">
    <w:pPr>
      <w:pStyle w:val="Encabezado"/>
      <w:jc w:val="center"/>
      <w:rPr>
        <w:lang w:val="es-MX"/>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9776" behindDoc="1" locked="0" layoutInCell="1" allowOverlap="1" wp14:anchorId="49A01BDC" wp14:editId="1E59B0B9">
          <wp:simplePos x="0" y="0"/>
          <wp:positionH relativeFrom="column">
            <wp:posOffset>2149002</wp:posOffset>
          </wp:positionH>
          <wp:positionV relativeFrom="paragraph">
            <wp:posOffset>31750</wp:posOffset>
          </wp:positionV>
          <wp:extent cx="1180214" cy="1130787"/>
          <wp:effectExtent l="0" t="0" r="1270"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0214" cy="11307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Pr="00235C2F" w:rsidRDefault="00B72383" w:rsidP="00235C2F">
    <w:pPr>
      <w:pStyle w:val="Encabezado"/>
      <w:jc w:val="center"/>
      <w:rPr>
        <w:lang w:val="es-MX"/>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60288" behindDoc="1" locked="0" layoutInCell="1" allowOverlap="1" wp14:anchorId="36DF2F79" wp14:editId="2B2CF52C">
          <wp:simplePos x="0" y="0"/>
          <wp:positionH relativeFrom="column">
            <wp:posOffset>2077070</wp:posOffset>
          </wp:positionH>
          <wp:positionV relativeFrom="paragraph">
            <wp:posOffset>-52838</wp:posOffset>
          </wp:positionV>
          <wp:extent cx="1244009" cy="1191909"/>
          <wp:effectExtent l="0" t="0" r="0" b="8255"/>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009" cy="11919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235C2F" w:rsidRDefault="00B72383" w:rsidP="00235C2F">
    <w:pPr>
      <w:pStyle w:val="Encabezado"/>
      <w:jc w:val="center"/>
      <w:rPr>
        <w:lang w:val="es-MX"/>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BF3487">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6192" behindDoc="0" locked="0" layoutInCell="1" allowOverlap="1" wp14:anchorId="0BC0EBA8" wp14:editId="031D3CF7">
          <wp:simplePos x="0" y="0"/>
          <wp:positionH relativeFrom="column">
            <wp:posOffset>2279650</wp:posOffset>
          </wp:positionH>
          <wp:positionV relativeFrom="paragraph">
            <wp:posOffset>71120</wp:posOffset>
          </wp:positionV>
          <wp:extent cx="1156970" cy="1108075"/>
          <wp:effectExtent l="0" t="0" r="508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970" cy="1108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b/>
        <w:smallCaps/>
        <w:sz w:val="20"/>
        <w:szCs w:val="20"/>
        <w:lang w:val="es-MX"/>
      </w:rPr>
    </w:pPr>
  </w:p>
  <w:p w:rsidR="00B72383" w:rsidRDefault="00B72383" w:rsidP="00BF3487">
    <w:pPr>
      <w:tabs>
        <w:tab w:val="center" w:pos="4419"/>
        <w:tab w:val="right" w:pos="8838"/>
      </w:tabs>
      <w:jc w:val="center"/>
      <w:rPr>
        <w:b/>
        <w:smallCaps/>
        <w:sz w:val="20"/>
        <w:szCs w:val="20"/>
        <w:lang w:val="es-MX"/>
      </w:rPr>
    </w:pPr>
  </w:p>
  <w:p w:rsidR="00B72383" w:rsidRPr="001453DF" w:rsidRDefault="00B72383" w:rsidP="00BF3487">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BF3487">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BF3487">
    <w:pPr>
      <w:tabs>
        <w:tab w:val="center" w:pos="4419"/>
        <w:tab w:val="right" w:pos="8838"/>
      </w:tabs>
      <w:jc w:val="center"/>
      <w:rPr>
        <w:rFonts w:ascii="Arial" w:hAnsi="Arial" w:cs="Arial"/>
        <w:b/>
        <w:smallCaps/>
        <w:sz w:val="22"/>
        <w:szCs w:val="22"/>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431FD"/>
    <w:multiLevelType w:val="hybridMultilevel"/>
    <w:tmpl w:val="CCEC261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29713F8"/>
    <w:multiLevelType w:val="hybridMultilevel"/>
    <w:tmpl w:val="705E27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3A87180"/>
    <w:multiLevelType w:val="hybridMultilevel"/>
    <w:tmpl w:val="04800502"/>
    <w:lvl w:ilvl="0" w:tplc="591281E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4333C56"/>
    <w:multiLevelType w:val="hybridMultilevel"/>
    <w:tmpl w:val="DA80F53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944283C"/>
    <w:multiLevelType w:val="hybridMultilevel"/>
    <w:tmpl w:val="8F402C8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95E05B5"/>
    <w:multiLevelType w:val="hybridMultilevel"/>
    <w:tmpl w:val="37BA28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0A284B99"/>
    <w:multiLevelType w:val="multilevel"/>
    <w:tmpl w:val="2B362A9E"/>
    <w:lvl w:ilvl="0">
      <w:start w:val="1"/>
      <w:numFmt w:val="decimal"/>
      <w:lvlText w:val="%1."/>
      <w:lvlJc w:val="left"/>
      <w:pPr>
        <w:ind w:left="820" w:hanging="4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nsid w:val="0B0738C2"/>
    <w:multiLevelType w:val="multilevel"/>
    <w:tmpl w:val="6696E8D2"/>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nsid w:val="15C975EB"/>
    <w:multiLevelType w:val="hybridMultilevel"/>
    <w:tmpl w:val="2D80FC5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78F05C7"/>
    <w:multiLevelType w:val="hybridMultilevel"/>
    <w:tmpl w:val="FC46A086"/>
    <w:lvl w:ilvl="0" w:tplc="A024F8FA">
      <w:start w:val="1"/>
      <w:numFmt w:val="upperRoman"/>
      <w:lvlText w:val="%1."/>
      <w:lvlJc w:val="left"/>
      <w:pPr>
        <w:ind w:left="1080" w:hanging="72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B3610CD"/>
    <w:multiLevelType w:val="hybridMultilevel"/>
    <w:tmpl w:val="09A079D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21D624C"/>
    <w:multiLevelType w:val="hybridMultilevel"/>
    <w:tmpl w:val="A7BEA4A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27758D8"/>
    <w:multiLevelType w:val="hybridMultilevel"/>
    <w:tmpl w:val="613C8EB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2B95CD8"/>
    <w:multiLevelType w:val="multilevel"/>
    <w:tmpl w:val="4920D7C2"/>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238B4F0A"/>
    <w:multiLevelType w:val="hybridMultilevel"/>
    <w:tmpl w:val="DC18066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7F93A8F"/>
    <w:multiLevelType w:val="hybridMultilevel"/>
    <w:tmpl w:val="822EA88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9C11040"/>
    <w:multiLevelType w:val="hybridMultilevel"/>
    <w:tmpl w:val="35DC9FBC"/>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2CAB5745"/>
    <w:multiLevelType w:val="hybridMultilevel"/>
    <w:tmpl w:val="D98C7932"/>
    <w:lvl w:ilvl="0" w:tplc="77DCC078">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8">
    <w:nsid w:val="2D8E68D5"/>
    <w:multiLevelType w:val="hybridMultilevel"/>
    <w:tmpl w:val="7F5EA7B2"/>
    <w:lvl w:ilvl="0" w:tplc="ECB80E42">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F5A5DEA"/>
    <w:multiLevelType w:val="hybridMultilevel"/>
    <w:tmpl w:val="3162F1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2C55D63"/>
    <w:multiLevelType w:val="hybridMultilevel"/>
    <w:tmpl w:val="E5E8747C"/>
    <w:lvl w:ilvl="0" w:tplc="BA98EAFC">
      <w:start w:val="1"/>
      <w:numFmt w:val="decimal"/>
      <w:lvlText w:val="%1."/>
      <w:lvlJc w:val="left"/>
      <w:pPr>
        <w:ind w:left="360" w:hanging="360"/>
      </w:pPr>
      <w:rPr>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2F632B2"/>
    <w:multiLevelType w:val="multilevel"/>
    <w:tmpl w:val="2048E506"/>
    <w:lvl w:ilvl="0">
      <w:start w:val="4"/>
      <w:numFmt w:val="decimal"/>
      <w:lvlText w:val="%1"/>
      <w:lvlJc w:val="left"/>
      <w:pPr>
        <w:ind w:left="440" w:hanging="4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nsid w:val="3F8177F2"/>
    <w:multiLevelType w:val="hybridMultilevel"/>
    <w:tmpl w:val="9A9E09A8"/>
    <w:lvl w:ilvl="0" w:tplc="D4D467A6">
      <w:start w:val="1"/>
      <w:numFmt w:val="bullet"/>
      <w:lvlText w:val=""/>
      <w:lvlJc w:val="left"/>
      <w:pPr>
        <w:tabs>
          <w:tab w:val="num" w:pos="720"/>
        </w:tabs>
        <w:ind w:left="720" w:hanging="360"/>
      </w:pPr>
      <w:rPr>
        <w:rFonts w:ascii="Wingdings" w:hAnsi="Wingdings" w:hint="default"/>
      </w:rPr>
    </w:lvl>
    <w:lvl w:ilvl="1" w:tplc="CB9825EC" w:tentative="1">
      <w:start w:val="1"/>
      <w:numFmt w:val="bullet"/>
      <w:lvlText w:val=""/>
      <w:lvlJc w:val="left"/>
      <w:pPr>
        <w:tabs>
          <w:tab w:val="num" w:pos="1440"/>
        </w:tabs>
        <w:ind w:left="1440" w:hanging="360"/>
      </w:pPr>
      <w:rPr>
        <w:rFonts w:ascii="Wingdings" w:hAnsi="Wingdings" w:hint="default"/>
      </w:rPr>
    </w:lvl>
    <w:lvl w:ilvl="2" w:tplc="5636B258" w:tentative="1">
      <w:start w:val="1"/>
      <w:numFmt w:val="bullet"/>
      <w:lvlText w:val=""/>
      <w:lvlJc w:val="left"/>
      <w:pPr>
        <w:tabs>
          <w:tab w:val="num" w:pos="2160"/>
        </w:tabs>
        <w:ind w:left="2160" w:hanging="360"/>
      </w:pPr>
      <w:rPr>
        <w:rFonts w:ascii="Wingdings" w:hAnsi="Wingdings" w:hint="default"/>
      </w:rPr>
    </w:lvl>
    <w:lvl w:ilvl="3" w:tplc="7B9A28D8" w:tentative="1">
      <w:start w:val="1"/>
      <w:numFmt w:val="bullet"/>
      <w:lvlText w:val=""/>
      <w:lvlJc w:val="left"/>
      <w:pPr>
        <w:tabs>
          <w:tab w:val="num" w:pos="2880"/>
        </w:tabs>
        <w:ind w:left="2880" w:hanging="360"/>
      </w:pPr>
      <w:rPr>
        <w:rFonts w:ascii="Wingdings" w:hAnsi="Wingdings" w:hint="default"/>
      </w:rPr>
    </w:lvl>
    <w:lvl w:ilvl="4" w:tplc="3496DC2E" w:tentative="1">
      <w:start w:val="1"/>
      <w:numFmt w:val="bullet"/>
      <w:lvlText w:val=""/>
      <w:lvlJc w:val="left"/>
      <w:pPr>
        <w:tabs>
          <w:tab w:val="num" w:pos="3600"/>
        </w:tabs>
        <w:ind w:left="3600" w:hanging="360"/>
      </w:pPr>
      <w:rPr>
        <w:rFonts w:ascii="Wingdings" w:hAnsi="Wingdings" w:hint="default"/>
      </w:rPr>
    </w:lvl>
    <w:lvl w:ilvl="5" w:tplc="739480DC" w:tentative="1">
      <w:start w:val="1"/>
      <w:numFmt w:val="bullet"/>
      <w:lvlText w:val=""/>
      <w:lvlJc w:val="left"/>
      <w:pPr>
        <w:tabs>
          <w:tab w:val="num" w:pos="4320"/>
        </w:tabs>
        <w:ind w:left="4320" w:hanging="360"/>
      </w:pPr>
      <w:rPr>
        <w:rFonts w:ascii="Wingdings" w:hAnsi="Wingdings" w:hint="default"/>
      </w:rPr>
    </w:lvl>
    <w:lvl w:ilvl="6" w:tplc="0DA83D34" w:tentative="1">
      <w:start w:val="1"/>
      <w:numFmt w:val="bullet"/>
      <w:lvlText w:val=""/>
      <w:lvlJc w:val="left"/>
      <w:pPr>
        <w:tabs>
          <w:tab w:val="num" w:pos="5040"/>
        </w:tabs>
        <w:ind w:left="5040" w:hanging="360"/>
      </w:pPr>
      <w:rPr>
        <w:rFonts w:ascii="Wingdings" w:hAnsi="Wingdings" w:hint="default"/>
      </w:rPr>
    </w:lvl>
    <w:lvl w:ilvl="7" w:tplc="56E2AF64" w:tentative="1">
      <w:start w:val="1"/>
      <w:numFmt w:val="bullet"/>
      <w:lvlText w:val=""/>
      <w:lvlJc w:val="left"/>
      <w:pPr>
        <w:tabs>
          <w:tab w:val="num" w:pos="5760"/>
        </w:tabs>
        <w:ind w:left="5760" w:hanging="360"/>
      </w:pPr>
      <w:rPr>
        <w:rFonts w:ascii="Wingdings" w:hAnsi="Wingdings" w:hint="default"/>
      </w:rPr>
    </w:lvl>
    <w:lvl w:ilvl="8" w:tplc="2AE0625C" w:tentative="1">
      <w:start w:val="1"/>
      <w:numFmt w:val="bullet"/>
      <w:lvlText w:val=""/>
      <w:lvlJc w:val="left"/>
      <w:pPr>
        <w:tabs>
          <w:tab w:val="num" w:pos="6480"/>
        </w:tabs>
        <w:ind w:left="6480" w:hanging="360"/>
      </w:pPr>
      <w:rPr>
        <w:rFonts w:ascii="Wingdings" w:hAnsi="Wingdings" w:hint="default"/>
      </w:rPr>
    </w:lvl>
  </w:abstractNum>
  <w:abstractNum w:abstractNumId="23">
    <w:nsid w:val="44A70A5B"/>
    <w:multiLevelType w:val="hybridMultilevel"/>
    <w:tmpl w:val="C90EC76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51BE1A9F"/>
    <w:multiLevelType w:val="hybridMultilevel"/>
    <w:tmpl w:val="15140E12"/>
    <w:lvl w:ilvl="0" w:tplc="591281E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534A054C"/>
    <w:multiLevelType w:val="hybridMultilevel"/>
    <w:tmpl w:val="D56C1DF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55A5716F"/>
    <w:multiLevelType w:val="hybridMultilevel"/>
    <w:tmpl w:val="FC40AAF4"/>
    <w:lvl w:ilvl="0" w:tplc="0890E962">
      <w:start w:val="1"/>
      <w:numFmt w:val="bullet"/>
      <w:lvlText w:val="•"/>
      <w:lvlJc w:val="left"/>
      <w:pPr>
        <w:tabs>
          <w:tab w:val="num" w:pos="720"/>
        </w:tabs>
        <w:ind w:left="720" w:hanging="360"/>
      </w:pPr>
      <w:rPr>
        <w:rFonts w:ascii="Arial" w:hAnsi="Arial" w:hint="default"/>
      </w:rPr>
    </w:lvl>
    <w:lvl w:ilvl="1" w:tplc="19ECC884" w:tentative="1">
      <w:start w:val="1"/>
      <w:numFmt w:val="bullet"/>
      <w:lvlText w:val="•"/>
      <w:lvlJc w:val="left"/>
      <w:pPr>
        <w:tabs>
          <w:tab w:val="num" w:pos="1440"/>
        </w:tabs>
        <w:ind w:left="1440" w:hanging="360"/>
      </w:pPr>
      <w:rPr>
        <w:rFonts w:ascii="Arial" w:hAnsi="Arial" w:hint="default"/>
      </w:rPr>
    </w:lvl>
    <w:lvl w:ilvl="2" w:tplc="0272222A" w:tentative="1">
      <w:start w:val="1"/>
      <w:numFmt w:val="bullet"/>
      <w:lvlText w:val="•"/>
      <w:lvlJc w:val="left"/>
      <w:pPr>
        <w:tabs>
          <w:tab w:val="num" w:pos="2160"/>
        </w:tabs>
        <w:ind w:left="2160" w:hanging="360"/>
      </w:pPr>
      <w:rPr>
        <w:rFonts w:ascii="Arial" w:hAnsi="Arial" w:hint="default"/>
      </w:rPr>
    </w:lvl>
    <w:lvl w:ilvl="3" w:tplc="12CED016" w:tentative="1">
      <w:start w:val="1"/>
      <w:numFmt w:val="bullet"/>
      <w:lvlText w:val="•"/>
      <w:lvlJc w:val="left"/>
      <w:pPr>
        <w:tabs>
          <w:tab w:val="num" w:pos="2880"/>
        </w:tabs>
        <w:ind w:left="2880" w:hanging="360"/>
      </w:pPr>
      <w:rPr>
        <w:rFonts w:ascii="Arial" w:hAnsi="Arial" w:hint="default"/>
      </w:rPr>
    </w:lvl>
    <w:lvl w:ilvl="4" w:tplc="74EE3B72" w:tentative="1">
      <w:start w:val="1"/>
      <w:numFmt w:val="bullet"/>
      <w:lvlText w:val="•"/>
      <w:lvlJc w:val="left"/>
      <w:pPr>
        <w:tabs>
          <w:tab w:val="num" w:pos="3600"/>
        </w:tabs>
        <w:ind w:left="3600" w:hanging="360"/>
      </w:pPr>
      <w:rPr>
        <w:rFonts w:ascii="Arial" w:hAnsi="Arial" w:hint="default"/>
      </w:rPr>
    </w:lvl>
    <w:lvl w:ilvl="5" w:tplc="F3F486D8" w:tentative="1">
      <w:start w:val="1"/>
      <w:numFmt w:val="bullet"/>
      <w:lvlText w:val="•"/>
      <w:lvlJc w:val="left"/>
      <w:pPr>
        <w:tabs>
          <w:tab w:val="num" w:pos="4320"/>
        </w:tabs>
        <w:ind w:left="4320" w:hanging="360"/>
      </w:pPr>
      <w:rPr>
        <w:rFonts w:ascii="Arial" w:hAnsi="Arial" w:hint="default"/>
      </w:rPr>
    </w:lvl>
    <w:lvl w:ilvl="6" w:tplc="8564B010" w:tentative="1">
      <w:start w:val="1"/>
      <w:numFmt w:val="bullet"/>
      <w:lvlText w:val="•"/>
      <w:lvlJc w:val="left"/>
      <w:pPr>
        <w:tabs>
          <w:tab w:val="num" w:pos="5040"/>
        </w:tabs>
        <w:ind w:left="5040" w:hanging="360"/>
      </w:pPr>
      <w:rPr>
        <w:rFonts w:ascii="Arial" w:hAnsi="Arial" w:hint="default"/>
      </w:rPr>
    </w:lvl>
    <w:lvl w:ilvl="7" w:tplc="E5BAC1E2" w:tentative="1">
      <w:start w:val="1"/>
      <w:numFmt w:val="bullet"/>
      <w:lvlText w:val="•"/>
      <w:lvlJc w:val="left"/>
      <w:pPr>
        <w:tabs>
          <w:tab w:val="num" w:pos="5760"/>
        </w:tabs>
        <w:ind w:left="5760" w:hanging="360"/>
      </w:pPr>
      <w:rPr>
        <w:rFonts w:ascii="Arial" w:hAnsi="Arial" w:hint="default"/>
      </w:rPr>
    </w:lvl>
    <w:lvl w:ilvl="8" w:tplc="A806A24C" w:tentative="1">
      <w:start w:val="1"/>
      <w:numFmt w:val="bullet"/>
      <w:lvlText w:val="•"/>
      <w:lvlJc w:val="left"/>
      <w:pPr>
        <w:tabs>
          <w:tab w:val="num" w:pos="6480"/>
        </w:tabs>
        <w:ind w:left="6480" w:hanging="360"/>
      </w:pPr>
      <w:rPr>
        <w:rFonts w:ascii="Arial" w:hAnsi="Arial" w:hint="default"/>
      </w:rPr>
    </w:lvl>
  </w:abstractNum>
  <w:abstractNum w:abstractNumId="27">
    <w:nsid w:val="572D1A57"/>
    <w:multiLevelType w:val="hybridMultilevel"/>
    <w:tmpl w:val="A6A6BF62"/>
    <w:lvl w:ilvl="0" w:tplc="77DCC078">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8">
    <w:nsid w:val="597D54A3"/>
    <w:multiLevelType w:val="hybridMultilevel"/>
    <w:tmpl w:val="5A88AC3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5DD46460"/>
    <w:multiLevelType w:val="hybridMultilevel"/>
    <w:tmpl w:val="748E0212"/>
    <w:lvl w:ilvl="0" w:tplc="77DCC078">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0">
    <w:nsid w:val="5F31145A"/>
    <w:multiLevelType w:val="hybridMultilevel"/>
    <w:tmpl w:val="DE4A6966"/>
    <w:lvl w:ilvl="0" w:tplc="040A0001">
      <w:start w:val="1"/>
      <w:numFmt w:val="bullet"/>
      <w:lvlText w:val=""/>
      <w:lvlJc w:val="left"/>
      <w:pPr>
        <w:ind w:left="781" w:hanging="360"/>
      </w:pPr>
      <w:rPr>
        <w:rFonts w:ascii="Symbol" w:hAnsi="Symbol" w:hint="default"/>
      </w:rPr>
    </w:lvl>
    <w:lvl w:ilvl="1" w:tplc="040A0003" w:tentative="1">
      <w:start w:val="1"/>
      <w:numFmt w:val="bullet"/>
      <w:lvlText w:val="o"/>
      <w:lvlJc w:val="left"/>
      <w:pPr>
        <w:ind w:left="1501" w:hanging="360"/>
      </w:pPr>
      <w:rPr>
        <w:rFonts w:ascii="Courier New" w:hAnsi="Courier New" w:cs="Courier New" w:hint="default"/>
      </w:rPr>
    </w:lvl>
    <w:lvl w:ilvl="2" w:tplc="040A0005" w:tentative="1">
      <w:start w:val="1"/>
      <w:numFmt w:val="bullet"/>
      <w:lvlText w:val=""/>
      <w:lvlJc w:val="left"/>
      <w:pPr>
        <w:ind w:left="2221" w:hanging="360"/>
      </w:pPr>
      <w:rPr>
        <w:rFonts w:ascii="Wingdings" w:hAnsi="Wingdings" w:hint="default"/>
      </w:rPr>
    </w:lvl>
    <w:lvl w:ilvl="3" w:tplc="040A0001" w:tentative="1">
      <w:start w:val="1"/>
      <w:numFmt w:val="bullet"/>
      <w:lvlText w:val=""/>
      <w:lvlJc w:val="left"/>
      <w:pPr>
        <w:ind w:left="2941" w:hanging="360"/>
      </w:pPr>
      <w:rPr>
        <w:rFonts w:ascii="Symbol" w:hAnsi="Symbol" w:hint="default"/>
      </w:rPr>
    </w:lvl>
    <w:lvl w:ilvl="4" w:tplc="040A0003" w:tentative="1">
      <w:start w:val="1"/>
      <w:numFmt w:val="bullet"/>
      <w:lvlText w:val="o"/>
      <w:lvlJc w:val="left"/>
      <w:pPr>
        <w:ind w:left="3661" w:hanging="360"/>
      </w:pPr>
      <w:rPr>
        <w:rFonts w:ascii="Courier New" w:hAnsi="Courier New" w:cs="Courier New" w:hint="default"/>
      </w:rPr>
    </w:lvl>
    <w:lvl w:ilvl="5" w:tplc="040A0005" w:tentative="1">
      <w:start w:val="1"/>
      <w:numFmt w:val="bullet"/>
      <w:lvlText w:val=""/>
      <w:lvlJc w:val="left"/>
      <w:pPr>
        <w:ind w:left="4381" w:hanging="360"/>
      </w:pPr>
      <w:rPr>
        <w:rFonts w:ascii="Wingdings" w:hAnsi="Wingdings" w:hint="default"/>
      </w:rPr>
    </w:lvl>
    <w:lvl w:ilvl="6" w:tplc="040A0001" w:tentative="1">
      <w:start w:val="1"/>
      <w:numFmt w:val="bullet"/>
      <w:lvlText w:val=""/>
      <w:lvlJc w:val="left"/>
      <w:pPr>
        <w:ind w:left="5101" w:hanging="360"/>
      </w:pPr>
      <w:rPr>
        <w:rFonts w:ascii="Symbol" w:hAnsi="Symbol" w:hint="default"/>
      </w:rPr>
    </w:lvl>
    <w:lvl w:ilvl="7" w:tplc="040A0003" w:tentative="1">
      <w:start w:val="1"/>
      <w:numFmt w:val="bullet"/>
      <w:lvlText w:val="o"/>
      <w:lvlJc w:val="left"/>
      <w:pPr>
        <w:ind w:left="5821" w:hanging="360"/>
      </w:pPr>
      <w:rPr>
        <w:rFonts w:ascii="Courier New" w:hAnsi="Courier New" w:cs="Courier New" w:hint="default"/>
      </w:rPr>
    </w:lvl>
    <w:lvl w:ilvl="8" w:tplc="040A0005" w:tentative="1">
      <w:start w:val="1"/>
      <w:numFmt w:val="bullet"/>
      <w:lvlText w:val=""/>
      <w:lvlJc w:val="left"/>
      <w:pPr>
        <w:ind w:left="6541" w:hanging="360"/>
      </w:pPr>
      <w:rPr>
        <w:rFonts w:ascii="Wingdings" w:hAnsi="Wingdings" w:hint="default"/>
      </w:rPr>
    </w:lvl>
  </w:abstractNum>
  <w:abstractNum w:abstractNumId="31">
    <w:nsid w:val="632016A6"/>
    <w:multiLevelType w:val="hybridMultilevel"/>
    <w:tmpl w:val="4448F83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4961F1F"/>
    <w:multiLevelType w:val="hybridMultilevel"/>
    <w:tmpl w:val="3E0224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514793A"/>
    <w:multiLevelType w:val="multilevel"/>
    <w:tmpl w:val="79E6D18E"/>
    <w:lvl w:ilvl="0">
      <w:start w:val="1"/>
      <w:numFmt w:val="decimal"/>
      <w:lvlText w:val="%1."/>
      <w:lvlJc w:val="left"/>
      <w:pPr>
        <w:ind w:left="720" w:hanging="360"/>
      </w:pPr>
      <w:rPr>
        <w:rFonts w:ascii="Arial" w:eastAsiaTheme="minorEastAsia" w:hAnsi="Arial" w:cs="Arial"/>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4">
    <w:nsid w:val="65D56D1F"/>
    <w:multiLevelType w:val="hybridMultilevel"/>
    <w:tmpl w:val="342606D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A800F67"/>
    <w:multiLevelType w:val="hybridMultilevel"/>
    <w:tmpl w:val="4406F14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B8E7C67"/>
    <w:multiLevelType w:val="hybridMultilevel"/>
    <w:tmpl w:val="8E142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6BF85F79"/>
    <w:multiLevelType w:val="hybridMultilevel"/>
    <w:tmpl w:val="F85200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6D895DE5"/>
    <w:multiLevelType w:val="multilevel"/>
    <w:tmpl w:val="C036738E"/>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9">
    <w:nsid w:val="6DEF42AF"/>
    <w:multiLevelType w:val="hybridMultilevel"/>
    <w:tmpl w:val="94503762"/>
    <w:lvl w:ilvl="0" w:tplc="86A03E9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70553D5C"/>
    <w:multiLevelType w:val="hybridMultilevel"/>
    <w:tmpl w:val="0A84B682"/>
    <w:lvl w:ilvl="0" w:tplc="080A0019">
      <w:start w:val="1"/>
      <w:numFmt w:val="lowerLetter"/>
      <w:lvlText w:val="%1."/>
      <w:lvlJc w:val="left"/>
      <w:pPr>
        <w:ind w:left="1860" w:hanging="360"/>
      </w:pPr>
    </w:lvl>
    <w:lvl w:ilvl="1" w:tplc="080A0019" w:tentative="1">
      <w:start w:val="1"/>
      <w:numFmt w:val="lowerLetter"/>
      <w:lvlText w:val="%2."/>
      <w:lvlJc w:val="left"/>
      <w:pPr>
        <w:ind w:left="2580" w:hanging="360"/>
      </w:pPr>
    </w:lvl>
    <w:lvl w:ilvl="2" w:tplc="080A001B" w:tentative="1">
      <w:start w:val="1"/>
      <w:numFmt w:val="lowerRoman"/>
      <w:lvlText w:val="%3."/>
      <w:lvlJc w:val="right"/>
      <w:pPr>
        <w:ind w:left="3300" w:hanging="180"/>
      </w:pPr>
    </w:lvl>
    <w:lvl w:ilvl="3" w:tplc="080A000F" w:tentative="1">
      <w:start w:val="1"/>
      <w:numFmt w:val="decimal"/>
      <w:lvlText w:val="%4."/>
      <w:lvlJc w:val="left"/>
      <w:pPr>
        <w:ind w:left="4020" w:hanging="360"/>
      </w:pPr>
    </w:lvl>
    <w:lvl w:ilvl="4" w:tplc="080A0019" w:tentative="1">
      <w:start w:val="1"/>
      <w:numFmt w:val="lowerLetter"/>
      <w:lvlText w:val="%5."/>
      <w:lvlJc w:val="left"/>
      <w:pPr>
        <w:ind w:left="4740" w:hanging="360"/>
      </w:pPr>
    </w:lvl>
    <w:lvl w:ilvl="5" w:tplc="080A001B" w:tentative="1">
      <w:start w:val="1"/>
      <w:numFmt w:val="lowerRoman"/>
      <w:lvlText w:val="%6."/>
      <w:lvlJc w:val="right"/>
      <w:pPr>
        <w:ind w:left="5460" w:hanging="180"/>
      </w:pPr>
    </w:lvl>
    <w:lvl w:ilvl="6" w:tplc="080A000F" w:tentative="1">
      <w:start w:val="1"/>
      <w:numFmt w:val="decimal"/>
      <w:lvlText w:val="%7."/>
      <w:lvlJc w:val="left"/>
      <w:pPr>
        <w:ind w:left="6180" w:hanging="360"/>
      </w:pPr>
    </w:lvl>
    <w:lvl w:ilvl="7" w:tplc="080A0019" w:tentative="1">
      <w:start w:val="1"/>
      <w:numFmt w:val="lowerLetter"/>
      <w:lvlText w:val="%8."/>
      <w:lvlJc w:val="left"/>
      <w:pPr>
        <w:ind w:left="6900" w:hanging="360"/>
      </w:pPr>
    </w:lvl>
    <w:lvl w:ilvl="8" w:tplc="080A001B" w:tentative="1">
      <w:start w:val="1"/>
      <w:numFmt w:val="lowerRoman"/>
      <w:lvlText w:val="%9."/>
      <w:lvlJc w:val="right"/>
      <w:pPr>
        <w:ind w:left="7620" w:hanging="180"/>
      </w:pPr>
    </w:lvl>
  </w:abstractNum>
  <w:abstractNum w:abstractNumId="41">
    <w:nsid w:val="73526984"/>
    <w:multiLevelType w:val="hybridMultilevel"/>
    <w:tmpl w:val="96B28E4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73E03A0B"/>
    <w:multiLevelType w:val="hybridMultilevel"/>
    <w:tmpl w:val="0C42B144"/>
    <w:lvl w:ilvl="0" w:tplc="591281E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75562ECC"/>
    <w:multiLevelType w:val="hybridMultilevel"/>
    <w:tmpl w:val="076874B8"/>
    <w:lvl w:ilvl="0" w:tplc="43BCEFD0">
      <w:start w:val="1"/>
      <w:numFmt w:val="upperRoman"/>
      <w:lvlText w:val="%1."/>
      <w:lvlJc w:val="left"/>
      <w:pPr>
        <w:ind w:left="1004" w:hanging="720"/>
      </w:pPr>
      <w:rPr>
        <w:rFonts w:ascii="Arial" w:eastAsiaTheme="minorHAnsi" w:hAnsi="Arial" w:cs="Arial"/>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44">
    <w:nsid w:val="783976C2"/>
    <w:multiLevelType w:val="hybridMultilevel"/>
    <w:tmpl w:val="614657B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78536CC6"/>
    <w:multiLevelType w:val="hybridMultilevel"/>
    <w:tmpl w:val="838AE59A"/>
    <w:lvl w:ilvl="0" w:tplc="FD566E2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78DB4978"/>
    <w:multiLevelType w:val="hybridMultilevel"/>
    <w:tmpl w:val="945C13FA"/>
    <w:lvl w:ilvl="0" w:tplc="080A000F">
      <w:start w:val="1"/>
      <w:numFmt w:val="decimal"/>
      <w:lvlText w:val="%1."/>
      <w:lvlJc w:val="left"/>
      <w:pPr>
        <w:ind w:left="786"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7">
    <w:nsid w:val="796E3812"/>
    <w:multiLevelType w:val="hybridMultilevel"/>
    <w:tmpl w:val="61EAC126"/>
    <w:lvl w:ilvl="0" w:tplc="11762FF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7D393F5D"/>
    <w:multiLevelType w:val="hybridMultilevel"/>
    <w:tmpl w:val="810C1126"/>
    <w:lvl w:ilvl="0" w:tplc="8B78177E">
      <w:start w:val="5"/>
      <w:numFmt w:val="decimal"/>
      <w:lvlText w:val="%1."/>
      <w:lvlJc w:val="left"/>
      <w:pPr>
        <w:ind w:left="786" w:hanging="360"/>
      </w:pPr>
      <w:rPr>
        <w:rFonts w:hint="default"/>
        <w:color w:val="auto"/>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num w:numId="1">
    <w:abstractNumId w:val="20"/>
  </w:num>
  <w:num w:numId="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8"/>
  </w:num>
  <w:num w:numId="4">
    <w:abstractNumId w:val="27"/>
  </w:num>
  <w:num w:numId="5">
    <w:abstractNumId w:val="17"/>
  </w:num>
  <w:num w:numId="6">
    <w:abstractNumId w:val="29"/>
  </w:num>
  <w:num w:numId="7">
    <w:abstractNumId w:val="34"/>
  </w:num>
  <w:num w:numId="8">
    <w:abstractNumId w:val="15"/>
  </w:num>
  <w:num w:numId="9">
    <w:abstractNumId w:val="3"/>
  </w:num>
  <w:num w:numId="10">
    <w:abstractNumId w:val="12"/>
  </w:num>
  <w:num w:numId="11">
    <w:abstractNumId w:val="23"/>
  </w:num>
  <w:num w:numId="12">
    <w:abstractNumId w:val="41"/>
  </w:num>
  <w:num w:numId="13">
    <w:abstractNumId w:val="31"/>
  </w:num>
  <w:num w:numId="14">
    <w:abstractNumId w:val="14"/>
  </w:num>
  <w:num w:numId="15">
    <w:abstractNumId w:val="25"/>
  </w:num>
  <w:num w:numId="16">
    <w:abstractNumId w:val="4"/>
  </w:num>
  <w:num w:numId="17">
    <w:abstractNumId w:val="35"/>
  </w:num>
  <w:num w:numId="18">
    <w:abstractNumId w:val="19"/>
  </w:num>
  <w:num w:numId="19">
    <w:abstractNumId w:val="40"/>
  </w:num>
  <w:num w:numId="20">
    <w:abstractNumId w:val="16"/>
  </w:num>
  <w:num w:numId="21">
    <w:abstractNumId w:val="42"/>
  </w:num>
  <w:num w:numId="22">
    <w:abstractNumId w:val="2"/>
  </w:num>
  <w:num w:numId="23">
    <w:abstractNumId w:val="24"/>
  </w:num>
  <w:num w:numId="24">
    <w:abstractNumId w:val="43"/>
  </w:num>
  <w:num w:numId="25">
    <w:abstractNumId w:val="45"/>
  </w:num>
  <w:num w:numId="26">
    <w:abstractNumId w:val="47"/>
  </w:num>
  <w:num w:numId="27">
    <w:abstractNumId w:val="44"/>
  </w:num>
  <w:num w:numId="28">
    <w:abstractNumId w:val="0"/>
  </w:num>
  <w:num w:numId="29">
    <w:abstractNumId w:val="8"/>
  </w:num>
  <w:num w:numId="30">
    <w:abstractNumId w:val="32"/>
  </w:num>
  <w:num w:numId="31">
    <w:abstractNumId w:val="18"/>
  </w:num>
  <w:num w:numId="32">
    <w:abstractNumId w:val="39"/>
  </w:num>
  <w:num w:numId="33">
    <w:abstractNumId w:val="9"/>
  </w:num>
  <w:num w:numId="34">
    <w:abstractNumId w:val="33"/>
  </w:num>
  <w:num w:numId="35">
    <w:abstractNumId w:val="10"/>
  </w:num>
  <w:num w:numId="36">
    <w:abstractNumId w:val="11"/>
  </w:num>
  <w:num w:numId="37">
    <w:abstractNumId w:val="6"/>
  </w:num>
  <w:num w:numId="38">
    <w:abstractNumId w:val="5"/>
  </w:num>
  <w:num w:numId="39">
    <w:abstractNumId w:val="28"/>
  </w:num>
  <w:num w:numId="40">
    <w:abstractNumId w:val="30"/>
  </w:num>
  <w:num w:numId="41">
    <w:abstractNumId w:val="38"/>
  </w:num>
  <w:num w:numId="42">
    <w:abstractNumId w:val="13"/>
  </w:num>
  <w:num w:numId="43">
    <w:abstractNumId w:val="7"/>
  </w:num>
  <w:num w:numId="44">
    <w:abstractNumId w:val="21"/>
  </w:num>
  <w:num w:numId="45">
    <w:abstractNumId w:val="26"/>
  </w:num>
  <w:num w:numId="46">
    <w:abstractNumId w:val="36"/>
  </w:num>
  <w:num w:numId="47">
    <w:abstractNumId w:val="1"/>
  </w:num>
  <w:num w:numId="48">
    <w:abstractNumId w:val="37"/>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D89"/>
    <w:rsid w:val="000157D1"/>
    <w:rsid w:val="00026764"/>
    <w:rsid w:val="00031240"/>
    <w:rsid w:val="0003350B"/>
    <w:rsid w:val="00044C82"/>
    <w:rsid w:val="0006129B"/>
    <w:rsid w:val="0007327F"/>
    <w:rsid w:val="000825CD"/>
    <w:rsid w:val="00096F4C"/>
    <w:rsid w:val="000B0508"/>
    <w:rsid w:val="000B4510"/>
    <w:rsid w:val="000B50A6"/>
    <w:rsid w:val="000C3141"/>
    <w:rsid w:val="000C322D"/>
    <w:rsid w:val="000D27DF"/>
    <w:rsid w:val="000E78F9"/>
    <w:rsid w:val="000F752F"/>
    <w:rsid w:val="000F792D"/>
    <w:rsid w:val="0012229B"/>
    <w:rsid w:val="00133A3D"/>
    <w:rsid w:val="001439E2"/>
    <w:rsid w:val="001453DF"/>
    <w:rsid w:val="00167935"/>
    <w:rsid w:val="00174604"/>
    <w:rsid w:val="001762E0"/>
    <w:rsid w:val="0018091C"/>
    <w:rsid w:val="00180FD6"/>
    <w:rsid w:val="00190726"/>
    <w:rsid w:val="001966E9"/>
    <w:rsid w:val="001C1776"/>
    <w:rsid w:val="001C4CF0"/>
    <w:rsid w:val="001F47E8"/>
    <w:rsid w:val="001F6F08"/>
    <w:rsid w:val="00224809"/>
    <w:rsid w:val="00225FC1"/>
    <w:rsid w:val="0022687E"/>
    <w:rsid w:val="00235C2F"/>
    <w:rsid w:val="002527FB"/>
    <w:rsid w:val="0026052D"/>
    <w:rsid w:val="00260FD2"/>
    <w:rsid w:val="002638F5"/>
    <w:rsid w:val="00263EB5"/>
    <w:rsid w:val="00266827"/>
    <w:rsid w:val="002A0A87"/>
    <w:rsid w:val="002A21B8"/>
    <w:rsid w:val="002A519E"/>
    <w:rsid w:val="002C62A3"/>
    <w:rsid w:val="002D25C1"/>
    <w:rsid w:val="002D3C7C"/>
    <w:rsid w:val="002E21D0"/>
    <w:rsid w:val="002F72BF"/>
    <w:rsid w:val="003004EE"/>
    <w:rsid w:val="00322AB9"/>
    <w:rsid w:val="0032350B"/>
    <w:rsid w:val="0032415A"/>
    <w:rsid w:val="003253D2"/>
    <w:rsid w:val="0032629D"/>
    <w:rsid w:val="003376AE"/>
    <w:rsid w:val="003467F0"/>
    <w:rsid w:val="00352AB1"/>
    <w:rsid w:val="00360F96"/>
    <w:rsid w:val="00375AB0"/>
    <w:rsid w:val="00380913"/>
    <w:rsid w:val="003927B3"/>
    <w:rsid w:val="003954FE"/>
    <w:rsid w:val="00395EBA"/>
    <w:rsid w:val="003A3B3D"/>
    <w:rsid w:val="003A53C5"/>
    <w:rsid w:val="003B50E0"/>
    <w:rsid w:val="003C0A44"/>
    <w:rsid w:val="003D3A9D"/>
    <w:rsid w:val="003F477B"/>
    <w:rsid w:val="003F7B87"/>
    <w:rsid w:val="004163B8"/>
    <w:rsid w:val="00426727"/>
    <w:rsid w:val="00451B59"/>
    <w:rsid w:val="004526F5"/>
    <w:rsid w:val="004679B0"/>
    <w:rsid w:val="00470C70"/>
    <w:rsid w:val="004B16DD"/>
    <w:rsid w:val="004B1EF1"/>
    <w:rsid w:val="004B5044"/>
    <w:rsid w:val="004B7DCC"/>
    <w:rsid w:val="004C6134"/>
    <w:rsid w:val="004D744A"/>
    <w:rsid w:val="004E5121"/>
    <w:rsid w:val="004E79D3"/>
    <w:rsid w:val="00506AC9"/>
    <w:rsid w:val="00526788"/>
    <w:rsid w:val="005326F9"/>
    <w:rsid w:val="00533278"/>
    <w:rsid w:val="00540ED7"/>
    <w:rsid w:val="00550D2D"/>
    <w:rsid w:val="00570E56"/>
    <w:rsid w:val="00576D3E"/>
    <w:rsid w:val="00581001"/>
    <w:rsid w:val="00587E84"/>
    <w:rsid w:val="005A0E0F"/>
    <w:rsid w:val="005B6577"/>
    <w:rsid w:val="005B69B2"/>
    <w:rsid w:val="005C047B"/>
    <w:rsid w:val="005C5382"/>
    <w:rsid w:val="005E006C"/>
    <w:rsid w:val="005F4A02"/>
    <w:rsid w:val="00617C4F"/>
    <w:rsid w:val="00622F9F"/>
    <w:rsid w:val="006475F6"/>
    <w:rsid w:val="0065223D"/>
    <w:rsid w:val="00660440"/>
    <w:rsid w:val="00662A5D"/>
    <w:rsid w:val="00665F63"/>
    <w:rsid w:val="00681AA7"/>
    <w:rsid w:val="00681F63"/>
    <w:rsid w:val="00691D9B"/>
    <w:rsid w:val="006A24C7"/>
    <w:rsid w:val="006B5983"/>
    <w:rsid w:val="006C6E4D"/>
    <w:rsid w:val="006D65F2"/>
    <w:rsid w:val="006E1308"/>
    <w:rsid w:val="006E2072"/>
    <w:rsid w:val="006E3C29"/>
    <w:rsid w:val="006F549A"/>
    <w:rsid w:val="007007D9"/>
    <w:rsid w:val="00707239"/>
    <w:rsid w:val="00710FEC"/>
    <w:rsid w:val="00722A3E"/>
    <w:rsid w:val="00727697"/>
    <w:rsid w:val="00731F27"/>
    <w:rsid w:val="00746E17"/>
    <w:rsid w:val="00752281"/>
    <w:rsid w:val="0075230C"/>
    <w:rsid w:val="00757922"/>
    <w:rsid w:val="00770007"/>
    <w:rsid w:val="00773077"/>
    <w:rsid w:val="007772AE"/>
    <w:rsid w:val="00780021"/>
    <w:rsid w:val="00785281"/>
    <w:rsid w:val="00791565"/>
    <w:rsid w:val="007A2960"/>
    <w:rsid w:val="007C15FE"/>
    <w:rsid w:val="007C721E"/>
    <w:rsid w:val="007D23E3"/>
    <w:rsid w:val="00811788"/>
    <w:rsid w:val="00826055"/>
    <w:rsid w:val="008343E9"/>
    <w:rsid w:val="00842A6D"/>
    <w:rsid w:val="00854965"/>
    <w:rsid w:val="00867CB0"/>
    <w:rsid w:val="008758DA"/>
    <w:rsid w:val="008A3897"/>
    <w:rsid w:val="008B2B99"/>
    <w:rsid w:val="008B56E0"/>
    <w:rsid w:val="008C0CAE"/>
    <w:rsid w:val="008C1B5A"/>
    <w:rsid w:val="008C1C46"/>
    <w:rsid w:val="008C3EC1"/>
    <w:rsid w:val="008D0498"/>
    <w:rsid w:val="008E2207"/>
    <w:rsid w:val="008F4658"/>
    <w:rsid w:val="008F76A6"/>
    <w:rsid w:val="009003EF"/>
    <w:rsid w:val="0090524B"/>
    <w:rsid w:val="0090635A"/>
    <w:rsid w:val="009104DF"/>
    <w:rsid w:val="00922695"/>
    <w:rsid w:val="00933259"/>
    <w:rsid w:val="00933F84"/>
    <w:rsid w:val="00936CD8"/>
    <w:rsid w:val="00943A3F"/>
    <w:rsid w:val="0095082F"/>
    <w:rsid w:val="00957A35"/>
    <w:rsid w:val="009727CF"/>
    <w:rsid w:val="00984C4F"/>
    <w:rsid w:val="00985CCA"/>
    <w:rsid w:val="009A14A5"/>
    <w:rsid w:val="009B310D"/>
    <w:rsid w:val="009B46FC"/>
    <w:rsid w:val="009C3606"/>
    <w:rsid w:val="009D73F4"/>
    <w:rsid w:val="009D7757"/>
    <w:rsid w:val="009E073E"/>
    <w:rsid w:val="00A6079E"/>
    <w:rsid w:val="00A67154"/>
    <w:rsid w:val="00A71FE2"/>
    <w:rsid w:val="00A724D7"/>
    <w:rsid w:val="00A83155"/>
    <w:rsid w:val="00AA1BF0"/>
    <w:rsid w:val="00AB28EA"/>
    <w:rsid w:val="00AB79F7"/>
    <w:rsid w:val="00AC2BBC"/>
    <w:rsid w:val="00AC37D1"/>
    <w:rsid w:val="00AC6AA1"/>
    <w:rsid w:val="00AD6CCC"/>
    <w:rsid w:val="00B0055E"/>
    <w:rsid w:val="00B11FD3"/>
    <w:rsid w:val="00B270F6"/>
    <w:rsid w:val="00B47067"/>
    <w:rsid w:val="00B4742A"/>
    <w:rsid w:val="00B72383"/>
    <w:rsid w:val="00B95766"/>
    <w:rsid w:val="00BA2DC3"/>
    <w:rsid w:val="00BA538D"/>
    <w:rsid w:val="00BA568E"/>
    <w:rsid w:val="00BA6D82"/>
    <w:rsid w:val="00BB1C1B"/>
    <w:rsid w:val="00BB766D"/>
    <w:rsid w:val="00BD5F1A"/>
    <w:rsid w:val="00BF3487"/>
    <w:rsid w:val="00BF7EFD"/>
    <w:rsid w:val="00C11D89"/>
    <w:rsid w:val="00C304E6"/>
    <w:rsid w:val="00C42222"/>
    <w:rsid w:val="00C52B4F"/>
    <w:rsid w:val="00C65353"/>
    <w:rsid w:val="00C703FC"/>
    <w:rsid w:val="00C70918"/>
    <w:rsid w:val="00C92606"/>
    <w:rsid w:val="00CC6C4D"/>
    <w:rsid w:val="00CE58F7"/>
    <w:rsid w:val="00CF2271"/>
    <w:rsid w:val="00CF30B0"/>
    <w:rsid w:val="00D07182"/>
    <w:rsid w:val="00D13B56"/>
    <w:rsid w:val="00D25BA5"/>
    <w:rsid w:val="00D2687A"/>
    <w:rsid w:val="00D36017"/>
    <w:rsid w:val="00D46BE0"/>
    <w:rsid w:val="00D8466F"/>
    <w:rsid w:val="00D84B27"/>
    <w:rsid w:val="00DB3E45"/>
    <w:rsid w:val="00DC01EC"/>
    <w:rsid w:val="00DD4C11"/>
    <w:rsid w:val="00DE428E"/>
    <w:rsid w:val="00E14F6E"/>
    <w:rsid w:val="00E16EBF"/>
    <w:rsid w:val="00E250E4"/>
    <w:rsid w:val="00E42B54"/>
    <w:rsid w:val="00E61846"/>
    <w:rsid w:val="00E61FFD"/>
    <w:rsid w:val="00E630C0"/>
    <w:rsid w:val="00E635ED"/>
    <w:rsid w:val="00E70A4F"/>
    <w:rsid w:val="00E728B5"/>
    <w:rsid w:val="00E77099"/>
    <w:rsid w:val="00EA7FDC"/>
    <w:rsid w:val="00ED3561"/>
    <w:rsid w:val="00ED60F3"/>
    <w:rsid w:val="00EF3F43"/>
    <w:rsid w:val="00F01630"/>
    <w:rsid w:val="00F162E6"/>
    <w:rsid w:val="00F21116"/>
    <w:rsid w:val="00F43DA6"/>
    <w:rsid w:val="00F55299"/>
    <w:rsid w:val="00F57CEC"/>
    <w:rsid w:val="00F61FBC"/>
    <w:rsid w:val="00F711E6"/>
    <w:rsid w:val="00FA5A87"/>
    <w:rsid w:val="00FB0307"/>
    <w:rsid w:val="00FB28C9"/>
    <w:rsid w:val="00FC03AD"/>
    <w:rsid w:val="00FD023F"/>
    <w:rsid w:val="00FF3145"/>
    <w:rsid w:val="00FF4C29"/>
    <w:rsid w:val="00FF6E4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1D89"/>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1"/>
    <w:uiPriority w:val="9"/>
    <w:qFormat/>
    <w:rsid w:val="0022687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22687E"/>
    <w:pPr>
      <w:keepNext/>
      <w:keepLines/>
      <w:spacing w:before="200"/>
      <w:outlineLvl w:val="1"/>
    </w:pPr>
    <w:rPr>
      <w:rFonts w:ascii="Calibri" w:eastAsia="MS Gothic" w:hAnsi="Calibri"/>
      <w:b/>
      <w:bCs/>
      <w:color w:val="4F81BD"/>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11D89"/>
    <w:pPr>
      <w:ind w:left="720"/>
      <w:contextualSpacing/>
    </w:pPr>
  </w:style>
  <w:style w:type="paragraph" w:styleId="Sinespaciado">
    <w:name w:val="No Spacing"/>
    <w:link w:val="SinespaciadoCar"/>
    <w:qFormat/>
    <w:rsid w:val="00263EB5"/>
    <w:pPr>
      <w:spacing w:after="0" w:line="240" w:lineRule="auto"/>
    </w:pPr>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662A5D"/>
    <w:pPr>
      <w:tabs>
        <w:tab w:val="center" w:pos="4419"/>
        <w:tab w:val="right" w:pos="8838"/>
      </w:tabs>
    </w:pPr>
  </w:style>
  <w:style w:type="character" w:customStyle="1" w:styleId="EncabezadoCar">
    <w:name w:val="Encabezado Car"/>
    <w:basedOn w:val="Fuentedeprrafopredeter"/>
    <w:link w:val="Encabezado"/>
    <w:uiPriority w:val="99"/>
    <w:rsid w:val="00662A5D"/>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662A5D"/>
    <w:pPr>
      <w:tabs>
        <w:tab w:val="center" w:pos="4419"/>
        <w:tab w:val="right" w:pos="8838"/>
      </w:tabs>
    </w:pPr>
  </w:style>
  <w:style w:type="character" w:customStyle="1" w:styleId="PiedepginaCar">
    <w:name w:val="Pie de página Car"/>
    <w:basedOn w:val="Fuentedeprrafopredeter"/>
    <w:link w:val="Piedepgina"/>
    <w:uiPriority w:val="99"/>
    <w:rsid w:val="00662A5D"/>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C42222"/>
    <w:rPr>
      <w:rFonts w:ascii="Tahoma" w:hAnsi="Tahoma" w:cs="Tahoma"/>
      <w:sz w:val="16"/>
      <w:szCs w:val="16"/>
    </w:rPr>
  </w:style>
  <w:style w:type="character" w:customStyle="1" w:styleId="TextodegloboCar">
    <w:name w:val="Texto de globo Car"/>
    <w:basedOn w:val="Fuentedeprrafopredeter"/>
    <w:link w:val="Textodeglobo"/>
    <w:uiPriority w:val="99"/>
    <w:semiHidden/>
    <w:rsid w:val="00C42222"/>
    <w:rPr>
      <w:rFonts w:ascii="Tahoma" w:eastAsia="Times New Roman" w:hAnsi="Tahoma" w:cs="Tahoma"/>
      <w:sz w:val="16"/>
      <w:szCs w:val="16"/>
      <w:lang w:val="es-ES" w:eastAsia="es-ES"/>
    </w:rPr>
  </w:style>
  <w:style w:type="paragraph" w:customStyle="1" w:styleId="Sinespaciado1">
    <w:name w:val="Sin espaciado1"/>
    <w:rsid w:val="005C047B"/>
    <w:pPr>
      <w:spacing w:after="0" w:line="240" w:lineRule="auto"/>
    </w:pPr>
    <w:rPr>
      <w:rFonts w:ascii="Calibri" w:eastAsia="Times New Roman" w:hAnsi="Calibri" w:cs="Times New Roman"/>
    </w:rPr>
  </w:style>
  <w:style w:type="paragraph" w:customStyle="1" w:styleId="Body1">
    <w:name w:val="Body 1"/>
    <w:rsid w:val="00E14F6E"/>
    <w:pPr>
      <w:spacing w:after="0" w:line="240" w:lineRule="auto"/>
    </w:pPr>
    <w:rPr>
      <w:rFonts w:ascii="Helvetica" w:eastAsia="Arial Unicode MS" w:hAnsi="Helvetica" w:cs="Times New Roman"/>
      <w:color w:val="000000"/>
      <w:sz w:val="24"/>
      <w:szCs w:val="20"/>
      <w:lang w:eastAsia="es-MX"/>
    </w:rPr>
  </w:style>
  <w:style w:type="character" w:styleId="Hipervnculo">
    <w:name w:val="Hyperlink"/>
    <w:basedOn w:val="Fuentedeprrafopredeter"/>
    <w:uiPriority w:val="99"/>
    <w:unhideWhenUsed/>
    <w:rsid w:val="003467F0"/>
    <w:rPr>
      <w:color w:val="0248B0"/>
      <w:u w:val="single"/>
    </w:rPr>
  </w:style>
  <w:style w:type="paragraph" w:customStyle="1" w:styleId="Default">
    <w:name w:val="Default"/>
    <w:rsid w:val="00811788"/>
    <w:pPr>
      <w:autoSpaceDE w:val="0"/>
      <w:autoSpaceDN w:val="0"/>
      <w:adjustRightInd w:val="0"/>
      <w:spacing w:after="0" w:line="240" w:lineRule="auto"/>
    </w:pPr>
    <w:rPr>
      <w:rFonts w:ascii="Arial" w:hAnsi="Arial" w:cs="Arial"/>
      <w:color w:val="000000"/>
      <w:sz w:val="24"/>
      <w:szCs w:val="24"/>
    </w:rPr>
  </w:style>
  <w:style w:type="paragraph" w:customStyle="1" w:styleId="Ttulo11">
    <w:name w:val="Título 11"/>
    <w:basedOn w:val="Normal"/>
    <w:next w:val="Normal"/>
    <w:link w:val="Ttulo1Car"/>
    <w:uiPriority w:val="9"/>
    <w:qFormat/>
    <w:rsid w:val="0022687E"/>
    <w:pPr>
      <w:keepNext/>
      <w:keepLines/>
      <w:spacing w:before="480" w:line="276" w:lineRule="auto"/>
      <w:outlineLvl w:val="0"/>
    </w:pPr>
    <w:rPr>
      <w:rFonts w:ascii="Calibri" w:eastAsia="MS Gothic" w:hAnsi="Calibri"/>
      <w:b/>
      <w:bCs/>
      <w:color w:val="365F91"/>
      <w:sz w:val="28"/>
      <w:szCs w:val="28"/>
      <w:lang w:val="es-MX" w:eastAsia="en-US"/>
    </w:rPr>
  </w:style>
  <w:style w:type="paragraph" w:customStyle="1" w:styleId="Ttulo21">
    <w:name w:val="Título 21"/>
    <w:basedOn w:val="Normal"/>
    <w:next w:val="Normal"/>
    <w:uiPriority w:val="9"/>
    <w:unhideWhenUsed/>
    <w:qFormat/>
    <w:rsid w:val="0022687E"/>
    <w:pPr>
      <w:keepNext/>
      <w:keepLines/>
      <w:spacing w:before="200"/>
      <w:outlineLvl w:val="1"/>
    </w:pPr>
    <w:rPr>
      <w:rFonts w:ascii="Calibri" w:eastAsia="MS Gothic" w:hAnsi="Calibri"/>
      <w:b/>
      <w:bCs/>
      <w:color w:val="4F81BD"/>
      <w:sz w:val="26"/>
      <w:szCs w:val="26"/>
      <w:lang w:val="es-ES_tradnl" w:eastAsia="ja-JP"/>
    </w:rPr>
  </w:style>
  <w:style w:type="numbering" w:customStyle="1" w:styleId="Sinlista1">
    <w:name w:val="Sin lista1"/>
    <w:next w:val="Sinlista"/>
    <w:uiPriority w:val="99"/>
    <w:semiHidden/>
    <w:unhideWhenUsed/>
    <w:rsid w:val="0022687E"/>
  </w:style>
  <w:style w:type="character" w:customStyle="1" w:styleId="Ttulo1Car">
    <w:name w:val="Título 1 Car"/>
    <w:basedOn w:val="Fuentedeprrafopredeter"/>
    <w:link w:val="Ttulo11"/>
    <w:uiPriority w:val="9"/>
    <w:rsid w:val="0022687E"/>
    <w:rPr>
      <w:rFonts w:ascii="Calibri" w:eastAsia="MS Gothic" w:hAnsi="Calibri" w:cs="Times New Roman"/>
      <w:b/>
      <w:bCs/>
      <w:color w:val="365F91"/>
      <w:sz w:val="28"/>
      <w:szCs w:val="28"/>
      <w:lang w:val="es-MX" w:eastAsia="en-US"/>
    </w:rPr>
  </w:style>
  <w:style w:type="paragraph" w:styleId="NormalWeb">
    <w:name w:val="Normal (Web)"/>
    <w:basedOn w:val="Normal"/>
    <w:uiPriority w:val="99"/>
    <w:unhideWhenUsed/>
    <w:rsid w:val="0022687E"/>
    <w:pPr>
      <w:spacing w:before="100" w:beforeAutospacing="1" w:after="100" w:afterAutospacing="1"/>
    </w:pPr>
    <w:rPr>
      <w:rFonts w:ascii="Times" w:eastAsia="MS Mincho" w:hAnsi="Times"/>
      <w:sz w:val="20"/>
      <w:szCs w:val="20"/>
      <w:lang w:val="es-ES_tradnl"/>
    </w:rPr>
  </w:style>
  <w:style w:type="paragraph" w:styleId="Textonotapie">
    <w:name w:val="footnote text"/>
    <w:basedOn w:val="Normal"/>
    <w:link w:val="TextonotapieCar"/>
    <w:uiPriority w:val="99"/>
    <w:unhideWhenUsed/>
    <w:rsid w:val="0022687E"/>
    <w:rPr>
      <w:rFonts w:ascii="Cambria" w:eastAsia="MS Mincho" w:hAnsi="Cambria"/>
      <w:lang w:val="es-ES_tradnl" w:eastAsia="ja-JP"/>
    </w:rPr>
  </w:style>
  <w:style w:type="character" w:customStyle="1" w:styleId="TextonotapieCar">
    <w:name w:val="Texto nota pie Car"/>
    <w:basedOn w:val="Fuentedeprrafopredeter"/>
    <w:link w:val="Textonotapie"/>
    <w:uiPriority w:val="99"/>
    <w:rsid w:val="0022687E"/>
    <w:rPr>
      <w:rFonts w:ascii="Cambria" w:eastAsia="MS Mincho" w:hAnsi="Cambria" w:cs="Times New Roman"/>
      <w:sz w:val="24"/>
      <w:szCs w:val="24"/>
      <w:lang w:val="es-ES_tradnl" w:eastAsia="ja-JP"/>
    </w:rPr>
  </w:style>
  <w:style w:type="character" w:styleId="Refdenotaalpie">
    <w:name w:val="footnote reference"/>
    <w:basedOn w:val="Fuentedeprrafopredeter"/>
    <w:uiPriority w:val="99"/>
    <w:unhideWhenUsed/>
    <w:rsid w:val="0022687E"/>
    <w:rPr>
      <w:vertAlign w:val="superscript"/>
    </w:rPr>
  </w:style>
  <w:style w:type="character" w:styleId="Nmerodepgina">
    <w:name w:val="page number"/>
    <w:basedOn w:val="Fuentedeprrafopredeter"/>
    <w:uiPriority w:val="99"/>
    <w:semiHidden/>
    <w:unhideWhenUsed/>
    <w:rsid w:val="0022687E"/>
  </w:style>
  <w:style w:type="paragraph" w:customStyle="1" w:styleId="Prrafodelista1">
    <w:name w:val="Párrafo de lista1"/>
    <w:basedOn w:val="Normal"/>
    <w:uiPriority w:val="34"/>
    <w:qFormat/>
    <w:rsid w:val="0022687E"/>
    <w:pPr>
      <w:spacing w:after="200" w:line="276" w:lineRule="auto"/>
      <w:ind w:left="720"/>
      <w:contextualSpacing/>
    </w:pPr>
    <w:rPr>
      <w:rFonts w:ascii="Calibri" w:hAnsi="Calibri"/>
      <w:sz w:val="22"/>
      <w:szCs w:val="22"/>
      <w:lang w:val="es-MX" w:eastAsia="en-US"/>
    </w:rPr>
  </w:style>
  <w:style w:type="table" w:customStyle="1" w:styleId="Cuadrculaclara-nfasis21">
    <w:name w:val="Cuadrícula clara - Énfasis 21"/>
    <w:basedOn w:val="Tablanormal"/>
    <w:next w:val="Cuadrculaclara-nfasis2"/>
    <w:uiPriority w:val="62"/>
    <w:rsid w:val="0022687E"/>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Ttulo1Car1">
    <w:name w:val="Título 1 Car1"/>
    <w:basedOn w:val="Fuentedeprrafopredeter"/>
    <w:link w:val="Ttulo1"/>
    <w:uiPriority w:val="9"/>
    <w:rsid w:val="0022687E"/>
    <w:rPr>
      <w:rFonts w:asciiTheme="majorHAnsi" w:eastAsiaTheme="majorEastAsia" w:hAnsiTheme="majorHAnsi" w:cstheme="majorBidi"/>
      <w:b/>
      <w:bCs/>
      <w:color w:val="365F91" w:themeColor="accent1" w:themeShade="BF"/>
      <w:sz w:val="28"/>
      <w:szCs w:val="28"/>
      <w:lang w:val="es-ES" w:eastAsia="es-ES"/>
    </w:rPr>
  </w:style>
  <w:style w:type="paragraph" w:styleId="TtulodeTDC">
    <w:name w:val="TOC Heading"/>
    <w:basedOn w:val="Ttulo1"/>
    <w:next w:val="Normal"/>
    <w:uiPriority w:val="39"/>
    <w:semiHidden/>
    <w:unhideWhenUsed/>
    <w:qFormat/>
    <w:rsid w:val="0022687E"/>
    <w:pPr>
      <w:spacing w:line="276" w:lineRule="auto"/>
      <w:outlineLvl w:val="9"/>
    </w:pPr>
    <w:rPr>
      <w:lang w:val="es-MX" w:eastAsia="es-MX"/>
    </w:rPr>
  </w:style>
  <w:style w:type="paragraph" w:styleId="TDC2">
    <w:name w:val="toc 2"/>
    <w:basedOn w:val="Normal"/>
    <w:next w:val="Normal"/>
    <w:autoRedefine/>
    <w:uiPriority w:val="39"/>
    <w:unhideWhenUsed/>
    <w:qFormat/>
    <w:rsid w:val="0022687E"/>
    <w:pPr>
      <w:spacing w:after="100" w:line="276" w:lineRule="auto"/>
      <w:ind w:left="220"/>
    </w:pPr>
    <w:rPr>
      <w:rFonts w:ascii="Cambria" w:eastAsia="MS Mincho" w:hAnsi="Cambria"/>
      <w:sz w:val="22"/>
      <w:szCs w:val="22"/>
      <w:lang w:val="es-MX" w:eastAsia="es-MX"/>
    </w:rPr>
  </w:style>
  <w:style w:type="paragraph" w:styleId="TDC1">
    <w:name w:val="toc 1"/>
    <w:basedOn w:val="Normal"/>
    <w:next w:val="Normal"/>
    <w:autoRedefine/>
    <w:uiPriority w:val="39"/>
    <w:unhideWhenUsed/>
    <w:qFormat/>
    <w:rsid w:val="0022687E"/>
    <w:pPr>
      <w:spacing w:after="100" w:line="276" w:lineRule="auto"/>
    </w:pPr>
    <w:rPr>
      <w:rFonts w:ascii="Cambria" w:eastAsia="MS Mincho" w:hAnsi="Cambria"/>
      <w:sz w:val="22"/>
      <w:szCs w:val="22"/>
      <w:lang w:val="es-MX" w:eastAsia="es-MX"/>
    </w:rPr>
  </w:style>
  <w:style w:type="table" w:customStyle="1" w:styleId="Tablaconcuadrcula1">
    <w:name w:val="Tabla con cuadrícula1"/>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268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211">
    <w:name w:val="Cuadrícula clara - Énfasis 211"/>
    <w:basedOn w:val="Tablanormal"/>
    <w:uiPriority w:val="62"/>
    <w:rsid w:val="0022687E"/>
    <w:pPr>
      <w:spacing w:after="0" w:line="240" w:lineRule="auto"/>
    </w:pPr>
    <w:rPr>
      <w:rFonts w:ascii="Calibri" w:eastAsia="Calibri" w:hAnsi="Calibri"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cuadrcula3">
    <w:name w:val="Tabla con cuadrícula3"/>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22687E"/>
  </w:style>
  <w:style w:type="paragraph" w:customStyle="1" w:styleId="Epgrafe1">
    <w:name w:val="Epígrafe1"/>
    <w:basedOn w:val="Normal"/>
    <w:next w:val="Normal"/>
    <w:uiPriority w:val="35"/>
    <w:unhideWhenUsed/>
    <w:qFormat/>
    <w:rsid w:val="0022687E"/>
    <w:pPr>
      <w:spacing w:after="200"/>
    </w:pPr>
    <w:rPr>
      <w:rFonts w:ascii="Cambria" w:eastAsia="Cambria" w:hAnsi="Cambria"/>
      <w:i/>
      <w:iCs/>
      <w:color w:val="1F497D"/>
      <w:sz w:val="18"/>
      <w:szCs w:val="18"/>
      <w:lang w:val="es-MX" w:eastAsia="en-US"/>
    </w:rPr>
  </w:style>
  <w:style w:type="paragraph" w:styleId="Bibliografa">
    <w:name w:val="Bibliography"/>
    <w:basedOn w:val="Normal"/>
    <w:next w:val="Normal"/>
    <w:uiPriority w:val="37"/>
    <w:unhideWhenUsed/>
    <w:rsid w:val="0022687E"/>
    <w:pPr>
      <w:spacing w:after="200"/>
    </w:pPr>
    <w:rPr>
      <w:rFonts w:ascii="Cambria" w:eastAsia="MS Mincho" w:hAnsi="Cambria"/>
      <w:lang w:val="es-ES_tradnl" w:eastAsia="ja-JP"/>
    </w:rPr>
  </w:style>
  <w:style w:type="character" w:customStyle="1" w:styleId="Ttulo2Car">
    <w:name w:val="Título 2 Car"/>
    <w:basedOn w:val="Fuentedeprrafopredeter"/>
    <w:link w:val="Ttulo2"/>
    <w:uiPriority w:val="9"/>
    <w:rsid w:val="0022687E"/>
    <w:rPr>
      <w:rFonts w:ascii="Calibri" w:eastAsia="MS Gothic" w:hAnsi="Calibri" w:cs="Times New Roman"/>
      <w:b/>
      <w:bCs/>
      <w:color w:val="4F81BD"/>
      <w:sz w:val="26"/>
      <w:szCs w:val="26"/>
    </w:rPr>
  </w:style>
  <w:style w:type="table" w:customStyle="1" w:styleId="Cuadrculamedia3-nfasis21">
    <w:name w:val="Cuadrícula media 3 - Énfasis 21"/>
    <w:basedOn w:val="Tablanormal"/>
    <w:next w:val="Cuadrculamedia3-nfasis2"/>
    <w:uiPriority w:val="69"/>
    <w:rsid w:val="0022687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Tabladecuadrcula7concolores-nfasis61">
    <w:name w:val="Tabla de cuadrícula 7 con colores - Énfasis 61"/>
    <w:basedOn w:val="Tablanormal"/>
    <w:uiPriority w:val="52"/>
    <w:rsid w:val="0022687E"/>
    <w:pPr>
      <w:spacing w:after="0" w:line="240" w:lineRule="auto"/>
    </w:pPr>
    <w:rPr>
      <w:rFonts w:eastAsia="MS Mincho"/>
      <w:color w:val="E36C0A"/>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Tabladelista3-nfasis61">
    <w:name w:val="Tabla de lista 3 - Énfasis 61"/>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aclara-nfasis51">
    <w:name w:val="Lista clara - Énfasis 51"/>
    <w:basedOn w:val="Tablanormal"/>
    <w:next w:val="Listaclara-nfasis5"/>
    <w:uiPriority w:val="61"/>
    <w:rsid w:val="0022687E"/>
    <w:pPr>
      <w:spacing w:after="0" w:line="240" w:lineRule="auto"/>
    </w:pPr>
    <w:rPr>
      <w:rFonts w:eastAsia="MS Mincho"/>
      <w:sz w:val="24"/>
      <w:szCs w:val="24"/>
      <w:lang w:val="es-ES_tradnl"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ombreadomedio1-nfasis31">
    <w:name w:val="Sombreado medio 1 - Énfasis 31"/>
    <w:basedOn w:val="Tablanormal"/>
    <w:next w:val="Sombreadomedio1-nfasis3"/>
    <w:uiPriority w:val="63"/>
    <w:rsid w:val="0022687E"/>
    <w:pPr>
      <w:spacing w:after="0" w:line="240" w:lineRule="auto"/>
    </w:pPr>
    <w:rPr>
      <w:rFonts w:eastAsia="MS Mincho"/>
      <w:sz w:val="24"/>
      <w:szCs w:val="24"/>
      <w:lang w:val="es-ES_tradnl" w:eastAsia="ja-JP"/>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media2-nfasis61">
    <w:name w:val="Lista media 2 - Énfasis 61"/>
    <w:basedOn w:val="Tablanormal"/>
    <w:next w:val="Listamedia2-nfasis6"/>
    <w:uiPriority w:val="66"/>
    <w:rsid w:val="0022687E"/>
    <w:pPr>
      <w:spacing w:after="0" w:line="240" w:lineRule="auto"/>
    </w:pPr>
    <w:rPr>
      <w:rFonts w:ascii="Calibri" w:eastAsia="MS Gothic" w:hAnsi="Calibri" w:cs="Times New Roman"/>
      <w:color w:val="000000"/>
      <w:sz w:val="24"/>
      <w:szCs w:val="24"/>
      <w:lang w:val="es-ES_tradnl" w:eastAsia="ja-JP"/>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adelista3-nfasis62">
    <w:name w:val="Tabla de lista 3 - Énfasis 62"/>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adelista4-nfasis61">
    <w:name w:val="Tabla de lista 4 - Énfasis 61"/>
    <w:basedOn w:val="Tablanormal"/>
    <w:uiPriority w:val="49"/>
    <w:rsid w:val="0022687E"/>
    <w:pPr>
      <w:spacing w:after="0" w:line="240" w:lineRule="auto"/>
    </w:pPr>
    <w:rPr>
      <w:rFonts w:eastAsia="MS Mincho"/>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adecuadrcula5oscura-nfasis61">
    <w:name w:val="Tabla de cuadrícula 5 oscura - Énfasis 61"/>
    <w:basedOn w:val="Tablanormal"/>
    <w:uiPriority w:val="50"/>
    <w:rsid w:val="0022687E"/>
    <w:pPr>
      <w:spacing w:after="0" w:line="240" w:lineRule="auto"/>
    </w:pPr>
    <w:rPr>
      <w:rFonts w:eastAsia="MS Mincho"/>
      <w:sz w:val="24"/>
      <w:szCs w:val="24"/>
      <w:lang w:val="es-ES_tradnl"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paragraph" w:customStyle="1" w:styleId="Subttulo1">
    <w:name w:val="Subtítulo1"/>
    <w:basedOn w:val="Normal"/>
    <w:next w:val="Normal"/>
    <w:uiPriority w:val="11"/>
    <w:qFormat/>
    <w:rsid w:val="0022687E"/>
    <w:pPr>
      <w:numPr>
        <w:ilvl w:val="1"/>
      </w:numPr>
      <w:spacing w:after="160" w:line="259" w:lineRule="auto"/>
    </w:pPr>
    <w:rPr>
      <w:rFonts w:ascii="Cambria" w:eastAsia="MS Mincho" w:hAnsi="Cambria"/>
      <w:color w:val="5A5A5A"/>
      <w:spacing w:val="10"/>
      <w:sz w:val="22"/>
      <w:szCs w:val="22"/>
      <w:lang w:val="es-MX" w:eastAsia="en-US"/>
    </w:rPr>
  </w:style>
  <w:style w:type="character" w:customStyle="1" w:styleId="SubttuloCar">
    <w:name w:val="Subtítulo Car"/>
    <w:basedOn w:val="Fuentedeprrafopredeter"/>
    <w:link w:val="Subttulo"/>
    <w:uiPriority w:val="11"/>
    <w:rsid w:val="0022687E"/>
    <w:rPr>
      <w:color w:val="5A5A5A"/>
      <w:spacing w:val="10"/>
      <w:sz w:val="22"/>
      <w:szCs w:val="22"/>
      <w:lang w:val="es-MX" w:eastAsia="en-US"/>
    </w:rPr>
  </w:style>
  <w:style w:type="character" w:customStyle="1" w:styleId="Hipervnculovisitado1">
    <w:name w:val="Hipervínculo visitado1"/>
    <w:basedOn w:val="Fuentedeprrafopredeter"/>
    <w:uiPriority w:val="99"/>
    <w:semiHidden/>
    <w:unhideWhenUsed/>
    <w:rsid w:val="0022687E"/>
    <w:rPr>
      <w:color w:val="800080"/>
      <w:u w:val="single"/>
    </w:rPr>
  </w:style>
  <w:style w:type="paragraph" w:customStyle="1" w:styleId="ecxmsonormal">
    <w:name w:val="ecxmsonormal"/>
    <w:basedOn w:val="Normal"/>
    <w:rsid w:val="0022687E"/>
    <w:pPr>
      <w:spacing w:before="100" w:beforeAutospacing="1" w:after="100" w:afterAutospacing="1"/>
    </w:pPr>
    <w:rPr>
      <w:rFonts w:eastAsia="Cambria"/>
      <w:lang w:val="es-ES_tradnl" w:eastAsia="es-ES_tradnl"/>
    </w:rPr>
  </w:style>
  <w:style w:type="character" w:styleId="Refdecomentario">
    <w:name w:val="annotation reference"/>
    <w:basedOn w:val="Fuentedeprrafopredeter"/>
    <w:uiPriority w:val="99"/>
    <w:semiHidden/>
    <w:unhideWhenUsed/>
    <w:rsid w:val="0022687E"/>
    <w:rPr>
      <w:sz w:val="16"/>
      <w:szCs w:val="16"/>
    </w:rPr>
  </w:style>
  <w:style w:type="paragraph" w:styleId="Textocomentario">
    <w:name w:val="annotation text"/>
    <w:basedOn w:val="Normal"/>
    <w:link w:val="TextocomentarioCar"/>
    <w:uiPriority w:val="99"/>
    <w:semiHidden/>
    <w:unhideWhenUsed/>
    <w:rsid w:val="0022687E"/>
    <w:pPr>
      <w:spacing w:after="200"/>
    </w:pPr>
    <w:rPr>
      <w:rFonts w:ascii="Cambria" w:eastAsia="MS Mincho" w:hAnsi="Cambria"/>
      <w:sz w:val="20"/>
      <w:szCs w:val="20"/>
      <w:lang w:val="es-ES_tradnl" w:eastAsia="ja-JP"/>
    </w:rPr>
  </w:style>
  <w:style w:type="character" w:customStyle="1" w:styleId="TextocomentarioCar">
    <w:name w:val="Texto comentario Car"/>
    <w:basedOn w:val="Fuentedeprrafopredeter"/>
    <w:link w:val="Textocomentario"/>
    <w:uiPriority w:val="99"/>
    <w:semiHidden/>
    <w:rsid w:val="0022687E"/>
    <w:rPr>
      <w:rFonts w:ascii="Cambria" w:eastAsia="MS Mincho" w:hAnsi="Cambria" w:cs="Times New Roman"/>
      <w:sz w:val="20"/>
      <w:szCs w:val="20"/>
      <w:lang w:val="es-ES_tradnl" w:eastAsia="ja-JP"/>
    </w:rPr>
  </w:style>
  <w:style w:type="paragraph" w:styleId="Asuntodelcomentario">
    <w:name w:val="annotation subject"/>
    <w:basedOn w:val="Textocomentario"/>
    <w:next w:val="Textocomentario"/>
    <w:link w:val="AsuntodelcomentarioCar"/>
    <w:uiPriority w:val="99"/>
    <w:semiHidden/>
    <w:unhideWhenUsed/>
    <w:rsid w:val="0022687E"/>
    <w:rPr>
      <w:b/>
      <w:bCs/>
    </w:rPr>
  </w:style>
  <w:style w:type="character" w:customStyle="1" w:styleId="AsuntodelcomentarioCar">
    <w:name w:val="Asunto del comentario Car"/>
    <w:basedOn w:val="TextocomentarioCar"/>
    <w:link w:val="Asuntodelcomentario"/>
    <w:uiPriority w:val="99"/>
    <w:semiHidden/>
    <w:rsid w:val="0022687E"/>
    <w:rPr>
      <w:rFonts w:ascii="Cambria" w:eastAsia="MS Mincho" w:hAnsi="Cambria" w:cs="Times New Roman"/>
      <w:b/>
      <w:bCs/>
      <w:sz w:val="20"/>
      <w:szCs w:val="20"/>
      <w:lang w:val="es-ES_tradnl" w:eastAsia="ja-JP"/>
    </w:rPr>
  </w:style>
  <w:style w:type="character" w:customStyle="1" w:styleId="SinespaciadoCar">
    <w:name w:val="Sin espaciado Car"/>
    <w:basedOn w:val="Fuentedeprrafopredeter"/>
    <w:link w:val="Sinespaciado"/>
    <w:rsid w:val="0022687E"/>
    <w:rPr>
      <w:rFonts w:ascii="Times New Roman" w:eastAsia="Times New Roman" w:hAnsi="Times New Roman" w:cs="Times New Roman"/>
      <w:sz w:val="24"/>
      <w:szCs w:val="24"/>
      <w:lang w:val="es-ES" w:eastAsia="es-ES"/>
    </w:rPr>
  </w:style>
  <w:style w:type="table" w:styleId="Cuadrculaclara-nfasis2">
    <w:name w:val="Light Grid Accent 2"/>
    <w:basedOn w:val="Tablanormal"/>
    <w:uiPriority w:val="62"/>
    <w:rsid w:val="0022687E"/>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Tablaconcuadrcula">
    <w:name w:val="Table Grid"/>
    <w:basedOn w:val="Tablanormal"/>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1">
    <w:name w:val="Título 2 Car1"/>
    <w:basedOn w:val="Fuentedeprrafopredeter"/>
    <w:uiPriority w:val="9"/>
    <w:semiHidden/>
    <w:rsid w:val="0022687E"/>
    <w:rPr>
      <w:rFonts w:asciiTheme="majorHAnsi" w:eastAsiaTheme="majorEastAsia" w:hAnsiTheme="majorHAnsi" w:cstheme="majorBidi"/>
      <w:b/>
      <w:bCs/>
      <w:color w:val="4F81BD" w:themeColor="accent1"/>
      <w:sz w:val="26"/>
      <w:szCs w:val="26"/>
      <w:lang w:val="es-ES" w:eastAsia="es-ES"/>
    </w:rPr>
  </w:style>
  <w:style w:type="table" w:styleId="Cuadrculamedia3-nfasis2">
    <w:name w:val="Medium Grid 3 Accent 2"/>
    <w:basedOn w:val="Tablanormal"/>
    <w:uiPriority w:val="69"/>
    <w:rsid w:val="0022687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Listaclara-nfasis5">
    <w:name w:val="Light List Accent 5"/>
    <w:basedOn w:val="Tablanormal"/>
    <w:uiPriority w:val="61"/>
    <w:rsid w:val="0022687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3">
    <w:name w:val="Medium Shading 1 Accent 3"/>
    <w:basedOn w:val="Tablanormal"/>
    <w:uiPriority w:val="63"/>
    <w:rsid w:val="0022687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media2-nfasis6">
    <w:name w:val="Medium List 2 Accent 6"/>
    <w:basedOn w:val="Tablanormal"/>
    <w:uiPriority w:val="66"/>
    <w:rsid w:val="0022687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styleId="Subttulo">
    <w:name w:val="Subtitle"/>
    <w:basedOn w:val="Normal"/>
    <w:next w:val="Normal"/>
    <w:link w:val="SubttuloCar"/>
    <w:uiPriority w:val="11"/>
    <w:qFormat/>
    <w:rsid w:val="0022687E"/>
    <w:pPr>
      <w:numPr>
        <w:ilvl w:val="1"/>
      </w:numPr>
    </w:pPr>
    <w:rPr>
      <w:rFonts w:asciiTheme="minorHAnsi" w:eastAsiaTheme="minorHAnsi" w:hAnsiTheme="minorHAnsi" w:cstheme="minorBidi"/>
      <w:color w:val="5A5A5A"/>
      <w:spacing w:val="10"/>
      <w:sz w:val="22"/>
      <w:szCs w:val="22"/>
      <w:lang w:val="es-MX" w:eastAsia="en-US"/>
    </w:rPr>
  </w:style>
  <w:style w:type="character" w:customStyle="1" w:styleId="SubttuloCar1">
    <w:name w:val="Subtítulo Car1"/>
    <w:basedOn w:val="Fuentedeprrafopredeter"/>
    <w:uiPriority w:val="11"/>
    <w:rsid w:val="0022687E"/>
    <w:rPr>
      <w:rFonts w:asciiTheme="majorHAnsi" w:eastAsiaTheme="majorEastAsia" w:hAnsiTheme="majorHAnsi" w:cstheme="majorBidi"/>
      <w:i/>
      <w:iCs/>
      <w:color w:val="4F81BD" w:themeColor="accent1"/>
      <w:spacing w:val="15"/>
      <w:sz w:val="24"/>
      <w:szCs w:val="24"/>
      <w:lang w:val="es-ES" w:eastAsia="es-ES"/>
    </w:rPr>
  </w:style>
  <w:style w:type="character" w:styleId="Hipervnculovisitado">
    <w:name w:val="FollowedHyperlink"/>
    <w:basedOn w:val="Fuentedeprrafopredeter"/>
    <w:uiPriority w:val="99"/>
    <w:semiHidden/>
    <w:unhideWhenUsed/>
    <w:rsid w:val="0022687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1D89"/>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1"/>
    <w:uiPriority w:val="9"/>
    <w:qFormat/>
    <w:rsid w:val="0022687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22687E"/>
    <w:pPr>
      <w:keepNext/>
      <w:keepLines/>
      <w:spacing w:before="200"/>
      <w:outlineLvl w:val="1"/>
    </w:pPr>
    <w:rPr>
      <w:rFonts w:ascii="Calibri" w:eastAsia="MS Gothic" w:hAnsi="Calibri"/>
      <w:b/>
      <w:bCs/>
      <w:color w:val="4F81BD"/>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11D89"/>
    <w:pPr>
      <w:ind w:left="720"/>
      <w:contextualSpacing/>
    </w:pPr>
  </w:style>
  <w:style w:type="paragraph" w:styleId="Sinespaciado">
    <w:name w:val="No Spacing"/>
    <w:link w:val="SinespaciadoCar"/>
    <w:qFormat/>
    <w:rsid w:val="00263EB5"/>
    <w:pPr>
      <w:spacing w:after="0" w:line="240" w:lineRule="auto"/>
    </w:pPr>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662A5D"/>
    <w:pPr>
      <w:tabs>
        <w:tab w:val="center" w:pos="4419"/>
        <w:tab w:val="right" w:pos="8838"/>
      </w:tabs>
    </w:pPr>
  </w:style>
  <w:style w:type="character" w:customStyle="1" w:styleId="EncabezadoCar">
    <w:name w:val="Encabezado Car"/>
    <w:basedOn w:val="Fuentedeprrafopredeter"/>
    <w:link w:val="Encabezado"/>
    <w:uiPriority w:val="99"/>
    <w:rsid w:val="00662A5D"/>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662A5D"/>
    <w:pPr>
      <w:tabs>
        <w:tab w:val="center" w:pos="4419"/>
        <w:tab w:val="right" w:pos="8838"/>
      </w:tabs>
    </w:pPr>
  </w:style>
  <w:style w:type="character" w:customStyle="1" w:styleId="PiedepginaCar">
    <w:name w:val="Pie de página Car"/>
    <w:basedOn w:val="Fuentedeprrafopredeter"/>
    <w:link w:val="Piedepgina"/>
    <w:uiPriority w:val="99"/>
    <w:rsid w:val="00662A5D"/>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C42222"/>
    <w:rPr>
      <w:rFonts w:ascii="Tahoma" w:hAnsi="Tahoma" w:cs="Tahoma"/>
      <w:sz w:val="16"/>
      <w:szCs w:val="16"/>
    </w:rPr>
  </w:style>
  <w:style w:type="character" w:customStyle="1" w:styleId="TextodegloboCar">
    <w:name w:val="Texto de globo Car"/>
    <w:basedOn w:val="Fuentedeprrafopredeter"/>
    <w:link w:val="Textodeglobo"/>
    <w:uiPriority w:val="99"/>
    <w:semiHidden/>
    <w:rsid w:val="00C42222"/>
    <w:rPr>
      <w:rFonts w:ascii="Tahoma" w:eastAsia="Times New Roman" w:hAnsi="Tahoma" w:cs="Tahoma"/>
      <w:sz w:val="16"/>
      <w:szCs w:val="16"/>
      <w:lang w:val="es-ES" w:eastAsia="es-ES"/>
    </w:rPr>
  </w:style>
  <w:style w:type="paragraph" w:customStyle="1" w:styleId="Sinespaciado1">
    <w:name w:val="Sin espaciado1"/>
    <w:rsid w:val="005C047B"/>
    <w:pPr>
      <w:spacing w:after="0" w:line="240" w:lineRule="auto"/>
    </w:pPr>
    <w:rPr>
      <w:rFonts w:ascii="Calibri" w:eastAsia="Times New Roman" w:hAnsi="Calibri" w:cs="Times New Roman"/>
    </w:rPr>
  </w:style>
  <w:style w:type="paragraph" w:customStyle="1" w:styleId="Body1">
    <w:name w:val="Body 1"/>
    <w:rsid w:val="00E14F6E"/>
    <w:pPr>
      <w:spacing w:after="0" w:line="240" w:lineRule="auto"/>
    </w:pPr>
    <w:rPr>
      <w:rFonts w:ascii="Helvetica" w:eastAsia="Arial Unicode MS" w:hAnsi="Helvetica" w:cs="Times New Roman"/>
      <w:color w:val="000000"/>
      <w:sz w:val="24"/>
      <w:szCs w:val="20"/>
      <w:lang w:eastAsia="es-MX"/>
    </w:rPr>
  </w:style>
  <w:style w:type="character" w:styleId="Hipervnculo">
    <w:name w:val="Hyperlink"/>
    <w:basedOn w:val="Fuentedeprrafopredeter"/>
    <w:uiPriority w:val="99"/>
    <w:unhideWhenUsed/>
    <w:rsid w:val="003467F0"/>
    <w:rPr>
      <w:color w:val="0248B0"/>
      <w:u w:val="single"/>
    </w:rPr>
  </w:style>
  <w:style w:type="paragraph" w:customStyle="1" w:styleId="Default">
    <w:name w:val="Default"/>
    <w:rsid w:val="00811788"/>
    <w:pPr>
      <w:autoSpaceDE w:val="0"/>
      <w:autoSpaceDN w:val="0"/>
      <w:adjustRightInd w:val="0"/>
      <w:spacing w:after="0" w:line="240" w:lineRule="auto"/>
    </w:pPr>
    <w:rPr>
      <w:rFonts w:ascii="Arial" w:hAnsi="Arial" w:cs="Arial"/>
      <w:color w:val="000000"/>
      <w:sz w:val="24"/>
      <w:szCs w:val="24"/>
    </w:rPr>
  </w:style>
  <w:style w:type="paragraph" w:customStyle="1" w:styleId="Ttulo11">
    <w:name w:val="Título 11"/>
    <w:basedOn w:val="Normal"/>
    <w:next w:val="Normal"/>
    <w:link w:val="Ttulo1Car"/>
    <w:uiPriority w:val="9"/>
    <w:qFormat/>
    <w:rsid w:val="0022687E"/>
    <w:pPr>
      <w:keepNext/>
      <w:keepLines/>
      <w:spacing w:before="480" w:line="276" w:lineRule="auto"/>
      <w:outlineLvl w:val="0"/>
    </w:pPr>
    <w:rPr>
      <w:rFonts w:ascii="Calibri" w:eastAsia="MS Gothic" w:hAnsi="Calibri"/>
      <w:b/>
      <w:bCs/>
      <w:color w:val="365F91"/>
      <w:sz w:val="28"/>
      <w:szCs w:val="28"/>
      <w:lang w:val="es-MX" w:eastAsia="en-US"/>
    </w:rPr>
  </w:style>
  <w:style w:type="paragraph" w:customStyle="1" w:styleId="Ttulo21">
    <w:name w:val="Título 21"/>
    <w:basedOn w:val="Normal"/>
    <w:next w:val="Normal"/>
    <w:uiPriority w:val="9"/>
    <w:unhideWhenUsed/>
    <w:qFormat/>
    <w:rsid w:val="0022687E"/>
    <w:pPr>
      <w:keepNext/>
      <w:keepLines/>
      <w:spacing w:before="200"/>
      <w:outlineLvl w:val="1"/>
    </w:pPr>
    <w:rPr>
      <w:rFonts w:ascii="Calibri" w:eastAsia="MS Gothic" w:hAnsi="Calibri"/>
      <w:b/>
      <w:bCs/>
      <w:color w:val="4F81BD"/>
      <w:sz w:val="26"/>
      <w:szCs w:val="26"/>
      <w:lang w:val="es-ES_tradnl" w:eastAsia="ja-JP"/>
    </w:rPr>
  </w:style>
  <w:style w:type="numbering" w:customStyle="1" w:styleId="Sinlista1">
    <w:name w:val="Sin lista1"/>
    <w:next w:val="Sinlista"/>
    <w:uiPriority w:val="99"/>
    <w:semiHidden/>
    <w:unhideWhenUsed/>
    <w:rsid w:val="0022687E"/>
  </w:style>
  <w:style w:type="character" w:customStyle="1" w:styleId="Ttulo1Car">
    <w:name w:val="Título 1 Car"/>
    <w:basedOn w:val="Fuentedeprrafopredeter"/>
    <w:link w:val="Ttulo11"/>
    <w:uiPriority w:val="9"/>
    <w:rsid w:val="0022687E"/>
    <w:rPr>
      <w:rFonts w:ascii="Calibri" w:eastAsia="MS Gothic" w:hAnsi="Calibri" w:cs="Times New Roman"/>
      <w:b/>
      <w:bCs/>
      <w:color w:val="365F91"/>
      <w:sz w:val="28"/>
      <w:szCs w:val="28"/>
      <w:lang w:val="es-MX" w:eastAsia="en-US"/>
    </w:rPr>
  </w:style>
  <w:style w:type="paragraph" w:styleId="NormalWeb">
    <w:name w:val="Normal (Web)"/>
    <w:basedOn w:val="Normal"/>
    <w:uiPriority w:val="99"/>
    <w:unhideWhenUsed/>
    <w:rsid w:val="0022687E"/>
    <w:pPr>
      <w:spacing w:before="100" w:beforeAutospacing="1" w:after="100" w:afterAutospacing="1"/>
    </w:pPr>
    <w:rPr>
      <w:rFonts w:ascii="Times" w:eastAsia="MS Mincho" w:hAnsi="Times"/>
      <w:sz w:val="20"/>
      <w:szCs w:val="20"/>
      <w:lang w:val="es-ES_tradnl"/>
    </w:rPr>
  </w:style>
  <w:style w:type="paragraph" w:styleId="Textonotapie">
    <w:name w:val="footnote text"/>
    <w:basedOn w:val="Normal"/>
    <w:link w:val="TextonotapieCar"/>
    <w:uiPriority w:val="99"/>
    <w:unhideWhenUsed/>
    <w:rsid w:val="0022687E"/>
    <w:rPr>
      <w:rFonts w:ascii="Cambria" w:eastAsia="MS Mincho" w:hAnsi="Cambria"/>
      <w:lang w:val="es-ES_tradnl" w:eastAsia="ja-JP"/>
    </w:rPr>
  </w:style>
  <w:style w:type="character" w:customStyle="1" w:styleId="TextonotapieCar">
    <w:name w:val="Texto nota pie Car"/>
    <w:basedOn w:val="Fuentedeprrafopredeter"/>
    <w:link w:val="Textonotapie"/>
    <w:uiPriority w:val="99"/>
    <w:rsid w:val="0022687E"/>
    <w:rPr>
      <w:rFonts w:ascii="Cambria" w:eastAsia="MS Mincho" w:hAnsi="Cambria" w:cs="Times New Roman"/>
      <w:sz w:val="24"/>
      <w:szCs w:val="24"/>
      <w:lang w:val="es-ES_tradnl" w:eastAsia="ja-JP"/>
    </w:rPr>
  </w:style>
  <w:style w:type="character" w:styleId="Refdenotaalpie">
    <w:name w:val="footnote reference"/>
    <w:basedOn w:val="Fuentedeprrafopredeter"/>
    <w:uiPriority w:val="99"/>
    <w:unhideWhenUsed/>
    <w:rsid w:val="0022687E"/>
    <w:rPr>
      <w:vertAlign w:val="superscript"/>
    </w:rPr>
  </w:style>
  <w:style w:type="character" w:styleId="Nmerodepgina">
    <w:name w:val="page number"/>
    <w:basedOn w:val="Fuentedeprrafopredeter"/>
    <w:uiPriority w:val="99"/>
    <w:semiHidden/>
    <w:unhideWhenUsed/>
    <w:rsid w:val="0022687E"/>
  </w:style>
  <w:style w:type="paragraph" w:customStyle="1" w:styleId="Prrafodelista1">
    <w:name w:val="Párrafo de lista1"/>
    <w:basedOn w:val="Normal"/>
    <w:uiPriority w:val="34"/>
    <w:qFormat/>
    <w:rsid w:val="0022687E"/>
    <w:pPr>
      <w:spacing w:after="200" w:line="276" w:lineRule="auto"/>
      <w:ind w:left="720"/>
      <w:contextualSpacing/>
    </w:pPr>
    <w:rPr>
      <w:rFonts w:ascii="Calibri" w:hAnsi="Calibri"/>
      <w:sz w:val="22"/>
      <w:szCs w:val="22"/>
      <w:lang w:val="es-MX" w:eastAsia="en-US"/>
    </w:rPr>
  </w:style>
  <w:style w:type="table" w:customStyle="1" w:styleId="Cuadrculaclara-nfasis21">
    <w:name w:val="Cuadrícula clara - Énfasis 21"/>
    <w:basedOn w:val="Tablanormal"/>
    <w:next w:val="Cuadrculaclara-nfasis2"/>
    <w:uiPriority w:val="62"/>
    <w:rsid w:val="0022687E"/>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Ttulo1Car1">
    <w:name w:val="Título 1 Car1"/>
    <w:basedOn w:val="Fuentedeprrafopredeter"/>
    <w:link w:val="Ttulo1"/>
    <w:uiPriority w:val="9"/>
    <w:rsid w:val="0022687E"/>
    <w:rPr>
      <w:rFonts w:asciiTheme="majorHAnsi" w:eastAsiaTheme="majorEastAsia" w:hAnsiTheme="majorHAnsi" w:cstheme="majorBidi"/>
      <w:b/>
      <w:bCs/>
      <w:color w:val="365F91" w:themeColor="accent1" w:themeShade="BF"/>
      <w:sz w:val="28"/>
      <w:szCs w:val="28"/>
      <w:lang w:val="es-ES" w:eastAsia="es-ES"/>
    </w:rPr>
  </w:style>
  <w:style w:type="paragraph" w:styleId="TtulodeTDC">
    <w:name w:val="TOC Heading"/>
    <w:basedOn w:val="Ttulo1"/>
    <w:next w:val="Normal"/>
    <w:uiPriority w:val="39"/>
    <w:semiHidden/>
    <w:unhideWhenUsed/>
    <w:qFormat/>
    <w:rsid w:val="0022687E"/>
    <w:pPr>
      <w:spacing w:line="276" w:lineRule="auto"/>
      <w:outlineLvl w:val="9"/>
    </w:pPr>
    <w:rPr>
      <w:lang w:val="es-MX" w:eastAsia="es-MX"/>
    </w:rPr>
  </w:style>
  <w:style w:type="paragraph" w:styleId="TDC2">
    <w:name w:val="toc 2"/>
    <w:basedOn w:val="Normal"/>
    <w:next w:val="Normal"/>
    <w:autoRedefine/>
    <w:uiPriority w:val="39"/>
    <w:unhideWhenUsed/>
    <w:qFormat/>
    <w:rsid w:val="0022687E"/>
    <w:pPr>
      <w:spacing w:after="100" w:line="276" w:lineRule="auto"/>
      <w:ind w:left="220"/>
    </w:pPr>
    <w:rPr>
      <w:rFonts w:ascii="Cambria" w:eastAsia="MS Mincho" w:hAnsi="Cambria"/>
      <w:sz w:val="22"/>
      <w:szCs w:val="22"/>
      <w:lang w:val="es-MX" w:eastAsia="es-MX"/>
    </w:rPr>
  </w:style>
  <w:style w:type="paragraph" w:styleId="TDC1">
    <w:name w:val="toc 1"/>
    <w:basedOn w:val="Normal"/>
    <w:next w:val="Normal"/>
    <w:autoRedefine/>
    <w:uiPriority w:val="39"/>
    <w:unhideWhenUsed/>
    <w:qFormat/>
    <w:rsid w:val="0022687E"/>
    <w:pPr>
      <w:spacing w:after="100" w:line="276" w:lineRule="auto"/>
    </w:pPr>
    <w:rPr>
      <w:rFonts w:ascii="Cambria" w:eastAsia="MS Mincho" w:hAnsi="Cambria"/>
      <w:sz w:val="22"/>
      <w:szCs w:val="22"/>
      <w:lang w:val="es-MX" w:eastAsia="es-MX"/>
    </w:rPr>
  </w:style>
  <w:style w:type="table" w:customStyle="1" w:styleId="Tablaconcuadrcula1">
    <w:name w:val="Tabla con cuadrícula1"/>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268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211">
    <w:name w:val="Cuadrícula clara - Énfasis 211"/>
    <w:basedOn w:val="Tablanormal"/>
    <w:uiPriority w:val="62"/>
    <w:rsid w:val="0022687E"/>
    <w:pPr>
      <w:spacing w:after="0" w:line="240" w:lineRule="auto"/>
    </w:pPr>
    <w:rPr>
      <w:rFonts w:ascii="Calibri" w:eastAsia="Calibri" w:hAnsi="Calibri"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cuadrcula3">
    <w:name w:val="Tabla con cuadrícula3"/>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22687E"/>
  </w:style>
  <w:style w:type="paragraph" w:customStyle="1" w:styleId="Epgrafe1">
    <w:name w:val="Epígrafe1"/>
    <w:basedOn w:val="Normal"/>
    <w:next w:val="Normal"/>
    <w:uiPriority w:val="35"/>
    <w:unhideWhenUsed/>
    <w:qFormat/>
    <w:rsid w:val="0022687E"/>
    <w:pPr>
      <w:spacing w:after="200"/>
    </w:pPr>
    <w:rPr>
      <w:rFonts w:ascii="Cambria" w:eastAsia="Cambria" w:hAnsi="Cambria"/>
      <w:i/>
      <w:iCs/>
      <w:color w:val="1F497D"/>
      <w:sz w:val="18"/>
      <w:szCs w:val="18"/>
      <w:lang w:val="es-MX" w:eastAsia="en-US"/>
    </w:rPr>
  </w:style>
  <w:style w:type="paragraph" w:styleId="Bibliografa">
    <w:name w:val="Bibliography"/>
    <w:basedOn w:val="Normal"/>
    <w:next w:val="Normal"/>
    <w:uiPriority w:val="37"/>
    <w:unhideWhenUsed/>
    <w:rsid w:val="0022687E"/>
    <w:pPr>
      <w:spacing w:after="200"/>
    </w:pPr>
    <w:rPr>
      <w:rFonts w:ascii="Cambria" w:eastAsia="MS Mincho" w:hAnsi="Cambria"/>
      <w:lang w:val="es-ES_tradnl" w:eastAsia="ja-JP"/>
    </w:rPr>
  </w:style>
  <w:style w:type="character" w:customStyle="1" w:styleId="Ttulo2Car">
    <w:name w:val="Título 2 Car"/>
    <w:basedOn w:val="Fuentedeprrafopredeter"/>
    <w:link w:val="Ttulo2"/>
    <w:uiPriority w:val="9"/>
    <w:rsid w:val="0022687E"/>
    <w:rPr>
      <w:rFonts w:ascii="Calibri" w:eastAsia="MS Gothic" w:hAnsi="Calibri" w:cs="Times New Roman"/>
      <w:b/>
      <w:bCs/>
      <w:color w:val="4F81BD"/>
      <w:sz w:val="26"/>
      <w:szCs w:val="26"/>
    </w:rPr>
  </w:style>
  <w:style w:type="table" w:customStyle="1" w:styleId="Cuadrculamedia3-nfasis21">
    <w:name w:val="Cuadrícula media 3 - Énfasis 21"/>
    <w:basedOn w:val="Tablanormal"/>
    <w:next w:val="Cuadrculamedia3-nfasis2"/>
    <w:uiPriority w:val="69"/>
    <w:rsid w:val="0022687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Tabladecuadrcula7concolores-nfasis61">
    <w:name w:val="Tabla de cuadrícula 7 con colores - Énfasis 61"/>
    <w:basedOn w:val="Tablanormal"/>
    <w:uiPriority w:val="52"/>
    <w:rsid w:val="0022687E"/>
    <w:pPr>
      <w:spacing w:after="0" w:line="240" w:lineRule="auto"/>
    </w:pPr>
    <w:rPr>
      <w:rFonts w:eastAsia="MS Mincho"/>
      <w:color w:val="E36C0A"/>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Tabladelista3-nfasis61">
    <w:name w:val="Tabla de lista 3 - Énfasis 61"/>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aclara-nfasis51">
    <w:name w:val="Lista clara - Énfasis 51"/>
    <w:basedOn w:val="Tablanormal"/>
    <w:next w:val="Listaclara-nfasis5"/>
    <w:uiPriority w:val="61"/>
    <w:rsid w:val="0022687E"/>
    <w:pPr>
      <w:spacing w:after="0" w:line="240" w:lineRule="auto"/>
    </w:pPr>
    <w:rPr>
      <w:rFonts w:eastAsia="MS Mincho"/>
      <w:sz w:val="24"/>
      <w:szCs w:val="24"/>
      <w:lang w:val="es-ES_tradnl"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ombreadomedio1-nfasis31">
    <w:name w:val="Sombreado medio 1 - Énfasis 31"/>
    <w:basedOn w:val="Tablanormal"/>
    <w:next w:val="Sombreadomedio1-nfasis3"/>
    <w:uiPriority w:val="63"/>
    <w:rsid w:val="0022687E"/>
    <w:pPr>
      <w:spacing w:after="0" w:line="240" w:lineRule="auto"/>
    </w:pPr>
    <w:rPr>
      <w:rFonts w:eastAsia="MS Mincho"/>
      <w:sz w:val="24"/>
      <w:szCs w:val="24"/>
      <w:lang w:val="es-ES_tradnl" w:eastAsia="ja-JP"/>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media2-nfasis61">
    <w:name w:val="Lista media 2 - Énfasis 61"/>
    <w:basedOn w:val="Tablanormal"/>
    <w:next w:val="Listamedia2-nfasis6"/>
    <w:uiPriority w:val="66"/>
    <w:rsid w:val="0022687E"/>
    <w:pPr>
      <w:spacing w:after="0" w:line="240" w:lineRule="auto"/>
    </w:pPr>
    <w:rPr>
      <w:rFonts w:ascii="Calibri" w:eastAsia="MS Gothic" w:hAnsi="Calibri" w:cs="Times New Roman"/>
      <w:color w:val="000000"/>
      <w:sz w:val="24"/>
      <w:szCs w:val="24"/>
      <w:lang w:val="es-ES_tradnl" w:eastAsia="ja-JP"/>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adelista3-nfasis62">
    <w:name w:val="Tabla de lista 3 - Énfasis 62"/>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adelista4-nfasis61">
    <w:name w:val="Tabla de lista 4 - Énfasis 61"/>
    <w:basedOn w:val="Tablanormal"/>
    <w:uiPriority w:val="49"/>
    <w:rsid w:val="0022687E"/>
    <w:pPr>
      <w:spacing w:after="0" w:line="240" w:lineRule="auto"/>
    </w:pPr>
    <w:rPr>
      <w:rFonts w:eastAsia="MS Mincho"/>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adecuadrcula5oscura-nfasis61">
    <w:name w:val="Tabla de cuadrícula 5 oscura - Énfasis 61"/>
    <w:basedOn w:val="Tablanormal"/>
    <w:uiPriority w:val="50"/>
    <w:rsid w:val="0022687E"/>
    <w:pPr>
      <w:spacing w:after="0" w:line="240" w:lineRule="auto"/>
    </w:pPr>
    <w:rPr>
      <w:rFonts w:eastAsia="MS Mincho"/>
      <w:sz w:val="24"/>
      <w:szCs w:val="24"/>
      <w:lang w:val="es-ES_tradnl"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paragraph" w:customStyle="1" w:styleId="Subttulo1">
    <w:name w:val="Subtítulo1"/>
    <w:basedOn w:val="Normal"/>
    <w:next w:val="Normal"/>
    <w:uiPriority w:val="11"/>
    <w:qFormat/>
    <w:rsid w:val="0022687E"/>
    <w:pPr>
      <w:numPr>
        <w:ilvl w:val="1"/>
      </w:numPr>
      <w:spacing w:after="160" w:line="259" w:lineRule="auto"/>
    </w:pPr>
    <w:rPr>
      <w:rFonts w:ascii="Cambria" w:eastAsia="MS Mincho" w:hAnsi="Cambria"/>
      <w:color w:val="5A5A5A"/>
      <w:spacing w:val="10"/>
      <w:sz w:val="22"/>
      <w:szCs w:val="22"/>
      <w:lang w:val="es-MX" w:eastAsia="en-US"/>
    </w:rPr>
  </w:style>
  <w:style w:type="character" w:customStyle="1" w:styleId="SubttuloCar">
    <w:name w:val="Subtítulo Car"/>
    <w:basedOn w:val="Fuentedeprrafopredeter"/>
    <w:link w:val="Subttulo"/>
    <w:uiPriority w:val="11"/>
    <w:rsid w:val="0022687E"/>
    <w:rPr>
      <w:color w:val="5A5A5A"/>
      <w:spacing w:val="10"/>
      <w:sz w:val="22"/>
      <w:szCs w:val="22"/>
      <w:lang w:val="es-MX" w:eastAsia="en-US"/>
    </w:rPr>
  </w:style>
  <w:style w:type="character" w:customStyle="1" w:styleId="Hipervnculovisitado1">
    <w:name w:val="Hipervínculo visitado1"/>
    <w:basedOn w:val="Fuentedeprrafopredeter"/>
    <w:uiPriority w:val="99"/>
    <w:semiHidden/>
    <w:unhideWhenUsed/>
    <w:rsid w:val="0022687E"/>
    <w:rPr>
      <w:color w:val="800080"/>
      <w:u w:val="single"/>
    </w:rPr>
  </w:style>
  <w:style w:type="paragraph" w:customStyle="1" w:styleId="ecxmsonormal">
    <w:name w:val="ecxmsonormal"/>
    <w:basedOn w:val="Normal"/>
    <w:rsid w:val="0022687E"/>
    <w:pPr>
      <w:spacing w:before="100" w:beforeAutospacing="1" w:after="100" w:afterAutospacing="1"/>
    </w:pPr>
    <w:rPr>
      <w:rFonts w:eastAsia="Cambria"/>
      <w:lang w:val="es-ES_tradnl" w:eastAsia="es-ES_tradnl"/>
    </w:rPr>
  </w:style>
  <w:style w:type="character" w:styleId="Refdecomentario">
    <w:name w:val="annotation reference"/>
    <w:basedOn w:val="Fuentedeprrafopredeter"/>
    <w:uiPriority w:val="99"/>
    <w:semiHidden/>
    <w:unhideWhenUsed/>
    <w:rsid w:val="0022687E"/>
    <w:rPr>
      <w:sz w:val="16"/>
      <w:szCs w:val="16"/>
    </w:rPr>
  </w:style>
  <w:style w:type="paragraph" w:styleId="Textocomentario">
    <w:name w:val="annotation text"/>
    <w:basedOn w:val="Normal"/>
    <w:link w:val="TextocomentarioCar"/>
    <w:uiPriority w:val="99"/>
    <w:semiHidden/>
    <w:unhideWhenUsed/>
    <w:rsid w:val="0022687E"/>
    <w:pPr>
      <w:spacing w:after="200"/>
    </w:pPr>
    <w:rPr>
      <w:rFonts w:ascii="Cambria" w:eastAsia="MS Mincho" w:hAnsi="Cambria"/>
      <w:sz w:val="20"/>
      <w:szCs w:val="20"/>
      <w:lang w:val="es-ES_tradnl" w:eastAsia="ja-JP"/>
    </w:rPr>
  </w:style>
  <w:style w:type="character" w:customStyle="1" w:styleId="TextocomentarioCar">
    <w:name w:val="Texto comentario Car"/>
    <w:basedOn w:val="Fuentedeprrafopredeter"/>
    <w:link w:val="Textocomentario"/>
    <w:uiPriority w:val="99"/>
    <w:semiHidden/>
    <w:rsid w:val="0022687E"/>
    <w:rPr>
      <w:rFonts w:ascii="Cambria" w:eastAsia="MS Mincho" w:hAnsi="Cambria" w:cs="Times New Roman"/>
      <w:sz w:val="20"/>
      <w:szCs w:val="20"/>
      <w:lang w:val="es-ES_tradnl" w:eastAsia="ja-JP"/>
    </w:rPr>
  </w:style>
  <w:style w:type="paragraph" w:styleId="Asuntodelcomentario">
    <w:name w:val="annotation subject"/>
    <w:basedOn w:val="Textocomentario"/>
    <w:next w:val="Textocomentario"/>
    <w:link w:val="AsuntodelcomentarioCar"/>
    <w:uiPriority w:val="99"/>
    <w:semiHidden/>
    <w:unhideWhenUsed/>
    <w:rsid w:val="0022687E"/>
    <w:rPr>
      <w:b/>
      <w:bCs/>
    </w:rPr>
  </w:style>
  <w:style w:type="character" w:customStyle="1" w:styleId="AsuntodelcomentarioCar">
    <w:name w:val="Asunto del comentario Car"/>
    <w:basedOn w:val="TextocomentarioCar"/>
    <w:link w:val="Asuntodelcomentario"/>
    <w:uiPriority w:val="99"/>
    <w:semiHidden/>
    <w:rsid w:val="0022687E"/>
    <w:rPr>
      <w:rFonts w:ascii="Cambria" w:eastAsia="MS Mincho" w:hAnsi="Cambria" w:cs="Times New Roman"/>
      <w:b/>
      <w:bCs/>
      <w:sz w:val="20"/>
      <w:szCs w:val="20"/>
      <w:lang w:val="es-ES_tradnl" w:eastAsia="ja-JP"/>
    </w:rPr>
  </w:style>
  <w:style w:type="character" w:customStyle="1" w:styleId="SinespaciadoCar">
    <w:name w:val="Sin espaciado Car"/>
    <w:basedOn w:val="Fuentedeprrafopredeter"/>
    <w:link w:val="Sinespaciado"/>
    <w:rsid w:val="0022687E"/>
    <w:rPr>
      <w:rFonts w:ascii="Times New Roman" w:eastAsia="Times New Roman" w:hAnsi="Times New Roman" w:cs="Times New Roman"/>
      <w:sz w:val="24"/>
      <w:szCs w:val="24"/>
      <w:lang w:val="es-ES" w:eastAsia="es-ES"/>
    </w:rPr>
  </w:style>
  <w:style w:type="table" w:styleId="Cuadrculaclara-nfasis2">
    <w:name w:val="Light Grid Accent 2"/>
    <w:basedOn w:val="Tablanormal"/>
    <w:uiPriority w:val="62"/>
    <w:rsid w:val="0022687E"/>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Tablaconcuadrcula">
    <w:name w:val="Table Grid"/>
    <w:basedOn w:val="Tablanormal"/>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1">
    <w:name w:val="Título 2 Car1"/>
    <w:basedOn w:val="Fuentedeprrafopredeter"/>
    <w:uiPriority w:val="9"/>
    <w:semiHidden/>
    <w:rsid w:val="0022687E"/>
    <w:rPr>
      <w:rFonts w:asciiTheme="majorHAnsi" w:eastAsiaTheme="majorEastAsia" w:hAnsiTheme="majorHAnsi" w:cstheme="majorBidi"/>
      <w:b/>
      <w:bCs/>
      <w:color w:val="4F81BD" w:themeColor="accent1"/>
      <w:sz w:val="26"/>
      <w:szCs w:val="26"/>
      <w:lang w:val="es-ES" w:eastAsia="es-ES"/>
    </w:rPr>
  </w:style>
  <w:style w:type="table" w:styleId="Cuadrculamedia3-nfasis2">
    <w:name w:val="Medium Grid 3 Accent 2"/>
    <w:basedOn w:val="Tablanormal"/>
    <w:uiPriority w:val="69"/>
    <w:rsid w:val="0022687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Listaclara-nfasis5">
    <w:name w:val="Light List Accent 5"/>
    <w:basedOn w:val="Tablanormal"/>
    <w:uiPriority w:val="61"/>
    <w:rsid w:val="0022687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3">
    <w:name w:val="Medium Shading 1 Accent 3"/>
    <w:basedOn w:val="Tablanormal"/>
    <w:uiPriority w:val="63"/>
    <w:rsid w:val="0022687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media2-nfasis6">
    <w:name w:val="Medium List 2 Accent 6"/>
    <w:basedOn w:val="Tablanormal"/>
    <w:uiPriority w:val="66"/>
    <w:rsid w:val="0022687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styleId="Subttulo">
    <w:name w:val="Subtitle"/>
    <w:basedOn w:val="Normal"/>
    <w:next w:val="Normal"/>
    <w:link w:val="SubttuloCar"/>
    <w:uiPriority w:val="11"/>
    <w:qFormat/>
    <w:rsid w:val="0022687E"/>
    <w:pPr>
      <w:numPr>
        <w:ilvl w:val="1"/>
      </w:numPr>
    </w:pPr>
    <w:rPr>
      <w:rFonts w:asciiTheme="minorHAnsi" w:eastAsiaTheme="minorHAnsi" w:hAnsiTheme="minorHAnsi" w:cstheme="minorBidi"/>
      <w:color w:val="5A5A5A"/>
      <w:spacing w:val="10"/>
      <w:sz w:val="22"/>
      <w:szCs w:val="22"/>
      <w:lang w:val="es-MX" w:eastAsia="en-US"/>
    </w:rPr>
  </w:style>
  <w:style w:type="character" w:customStyle="1" w:styleId="SubttuloCar1">
    <w:name w:val="Subtítulo Car1"/>
    <w:basedOn w:val="Fuentedeprrafopredeter"/>
    <w:uiPriority w:val="11"/>
    <w:rsid w:val="0022687E"/>
    <w:rPr>
      <w:rFonts w:asciiTheme="majorHAnsi" w:eastAsiaTheme="majorEastAsia" w:hAnsiTheme="majorHAnsi" w:cstheme="majorBidi"/>
      <w:i/>
      <w:iCs/>
      <w:color w:val="4F81BD" w:themeColor="accent1"/>
      <w:spacing w:val="15"/>
      <w:sz w:val="24"/>
      <w:szCs w:val="24"/>
      <w:lang w:val="es-ES" w:eastAsia="es-ES"/>
    </w:rPr>
  </w:style>
  <w:style w:type="character" w:styleId="Hipervnculovisitado">
    <w:name w:val="FollowedHyperlink"/>
    <w:basedOn w:val="Fuentedeprrafopredeter"/>
    <w:uiPriority w:val="99"/>
    <w:semiHidden/>
    <w:unhideWhenUsed/>
    <w:rsid w:val="0022687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0.tiff"/><Relationship Id="rId42" Type="http://schemas.openxmlformats.org/officeDocument/2006/relationships/diagramData" Target="diagrams/data2.xml"/><Relationship Id="rId47" Type="http://schemas.openxmlformats.org/officeDocument/2006/relationships/image" Target="media/image17.emf"/><Relationship Id="rId63" Type="http://schemas.microsoft.com/office/2007/relationships/diagramDrawing" Target="diagrams/drawing4.xml"/><Relationship Id="rId68" Type="http://schemas.openxmlformats.org/officeDocument/2006/relationships/diagramData" Target="diagrams/data5.xml"/><Relationship Id="rId84" Type="http://schemas.openxmlformats.org/officeDocument/2006/relationships/image" Target="media/image34.emf"/><Relationship Id="rId89" Type="http://schemas.openxmlformats.org/officeDocument/2006/relationships/diagramQuickStyle" Target="diagrams/quickStyle7.xml"/><Relationship Id="rId2" Type="http://schemas.openxmlformats.org/officeDocument/2006/relationships/numbering" Target="numbering.xml"/><Relationship Id="rId16" Type="http://schemas.openxmlformats.org/officeDocument/2006/relationships/image" Target="media/image7.tiff"/><Relationship Id="rId29" Type="http://schemas.openxmlformats.org/officeDocument/2006/relationships/chart" Target="charts/chart3.xml"/><Relationship Id="rId107" Type="http://schemas.openxmlformats.org/officeDocument/2006/relationships/hyperlink" Target="http://www.urbal-integration.eu/fileadmin/templates/Public_Download/Desarrollo_Sostenible.pdf" TargetMode="Externa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diagramQuickStyle" Target="diagrams/quickStyle1.xml"/><Relationship Id="rId40" Type="http://schemas.openxmlformats.org/officeDocument/2006/relationships/image" Target="media/image15.png"/><Relationship Id="rId45" Type="http://schemas.openxmlformats.org/officeDocument/2006/relationships/diagramColors" Target="diagrams/colors2.xml"/><Relationship Id="rId53" Type="http://schemas.openxmlformats.org/officeDocument/2006/relationships/diagramColors" Target="diagrams/colors3.xml"/><Relationship Id="rId58" Type="http://schemas.openxmlformats.org/officeDocument/2006/relationships/image" Target="media/image23.emf"/><Relationship Id="rId66" Type="http://schemas.openxmlformats.org/officeDocument/2006/relationships/image" Target="media/image26.emf"/><Relationship Id="rId74" Type="http://schemas.openxmlformats.org/officeDocument/2006/relationships/image" Target="media/image29.emf"/><Relationship Id="rId79" Type="http://schemas.openxmlformats.org/officeDocument/2006/relationships/diagramLayout" Target="diagrams/layout6.xml"/><Relationship Id="rId87" Type="http://schemas.openxmlformats.org/officeDocument/2006/relationships/diagramData" Target="diagrams/data7.xml"/><Relationship Id="rId102" Type="http://schemas.openxmlformats.org/officeDocument/2006/relationships/hyperlink" Target="http://www.inegi.org.mx/prod_serv/contenidos/espanol/bvinegi/productos/integracion/estd_perspect/junio_2013/nl/702825049812.pdf" TargetMode="External"/><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diagramQuickStyle" Target="diagrams/quickStyle4.xml"/><Relationship Id="rId82" Type="http://schemas.microsoft.com/office/2007/relationships/diagramDrawing" Target="diagrams/drawing6.xml"/><Relationship Id="rId90" Type="http://schemas.openxmlformats.org/officeDocument/2006/relationships/diagramColors" Target="diagrams/colors7.xml"/><Relationship Id="rId95" Type="http://schemas.openxmlformats.org/officeDocument/2006/relationships/hyperlink" Target="http://www.caintra.org.mx/boletin/2013/pulso/enero/Resultados.pdf" TargetMode="External"/><Relationship Id="rId19" Type="http://schemas.microsoft.com/office/2007/relationships/hdphoto" Target="media/hdphoto2.wdp"/><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chart" Target="charts/chart2.xml"/><Relationship Id="rId30" Type="http://schemas.openxmlformats.org/officeDocument/2006/relationships/header" Target="header5.xml"/><Relationship Id="rId35" Type="http://schemas.openxmlformats.org/officeDocument/2006/relationships/diagramData" Target="diagrams/data1.xml"/><Relationship Id="rId43" Type="http://schemas.openxmlformats.org/officeDocument/2006/relationships/diagramLayout" Target="diagrams/layout2.xml"/><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image" Target="media/image24.emf"/><Relationship Id="rId69" Type="http://schemas.openxmlformats.org/officeDocument/2006/relationships/diagramLayout" Target="diagrams/layout5.xml"/><Relationship Id="rId77" Type="http://schemas.openxmlformats.org/officeDocument/2006/relationships/image" Target="media/image32.emf"/><Relationship Id="rId100" Type="http://schemas.openxmlformats.org/officeDocument/2006/relationships/hyperlink" Target="http://cidh.oas.org/relatoria/section/Estudio%20Especial%20sobre%20el%20derecho%20de%20Acceso%20a%20la%20Informacion.pdf" TargetMode="External"/><Relationship Id="rId105" Type="http://schemas.openxmlformats.org/officeDocument/2006/relationships/hyperlink" Target="http://www.dof.gob.mx/nota_detalle.php?codigo=5377734&amp;fecha=30/12/2014" TargetMode="External"/><Relationship Id="rId8" Type="http://schemas.openxmlformats.org/officeDocument/2006/relationships/endnotes" Target="endnotes.xml"/><Relationship Id="rId51" Type="http://schemas.openxmlformats.org/officeDocument/2006/relationships/diagramLayout" Target="diagrams/layout3.xml"/><Relationship Id="rId72" Type="http://schemas.microsoft.com/office/2007/relationships/diagramDrawing" Target="diagrams/drawing5.xml"/><Relationship Id="rId80" Type="http://schemas.openxmlformats.org/officeDocument/2006/relationships/diagramQuickStyle" Target="diagrams/quickStyle6.xml"/><Relationship Id="rId85" Type="http://schemas.openxmlformats.org/officeDocument/2006/relationships/image" Target="media/image35.emf"/><Relationship Id="rId93" Type="http://schemas.openxmlformats.org/officeDocument/2006/relationships/image" Target="media/image38.emf"/><Relationship Id="rId98" Type="http://schemas.openxmlformats.org/officeDocument/2006/relationships/hyperlink" Target="http://www.juridicas.unam.mx/publica/rev/boletin/cont/113/art/art9.htm"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chart" Target="charts/chart1.xml"/><Relationship Id="rId25" Type="http://schemas.openxmlformats.org/officeDocument/2006/relationships/header" Target="header2.xml"/><Relationship Id="rId33" Type="http://schemas.openxmlformats.org/officeDocument/2006/relationships/image" Target="media/image14.png"/><Relationship Id="rId38" Type="http://schemas.openxmlformats.org/officeDocument/2006/relationships/diagramColors" Target="diagrams/colors1.xml"/><Relationship Id="rId46" Type="http://schemas.microsoft.com/office/2007/relationships/diagramDrawing" Target="diagrams/drawing2.xml"/><Relationship Id="rId59" Type="http://schemas.openxmlformats.org/officeDocument/2006/relationships/diagramData" Target="diagrams/data4.xml"/><Relationship Id="rId67" Type="http://schemas.openxmlformats.org/officeDocument/2006/relationships/image" Target="media/image27.emf"/><Relationship Id="rId103" Type="http://schemas.openxmlformats.org/officeDocument/2006/relationships/hyperlink" Target="http://mexico.itdp.org/wp-content/uploads/Instrumentos-para-el-Desarrollo-Orientado-al-Transporte.pdf" TargetMode="External"/><Relationship Id="rId108" Type="http://schemas.openxmlformats.org/officeDocument/2006/relationships/header" Target="header6.xml"/><Relationship Id="rId20" Type="http://schemas.openxmlformats.org/officeDocument/2006/relationships/image" Target="media/image9.tiff"/><Relationship Id="rId41" Type="http://schemas.openxmlformats.org/officeDocument/2006/relationships/image" Target="media/image16.emf"/><Relationship Id="rId54" Type="http://schemas.microsoft.com/office/2007/relationships/diagramDrawing" Target="diagrams/drawing3.xml"/><Relationship Id="rId62" Type="http://schemas.openxmlformats.org/officeDocument/2006/relationships/diagramColors" Target="diagrams/colors4.xml"/><Relationship Id="rId70" Type="http://schemas.openxmlformats.org/officeDocument/2006/relationships/diagramQuickStyle" Target="diagrams/quickStyle5.xml"/><Relationship Id="rId75" Type="http://schemas.openxmlformats.org/officeDocument/2006/relationships/image" Target="media/image30.emf"/><Relationship Id="rId83" Type="http://schemas.openxmlformats.org/officeDocument/2006/relationships/image" Target="media/image33.emf"/><Relationship Id="rId88" Type="http://schemas.openxmlformats.org/officeDocument/2006/relationships/diagramLayout" Target="diagrams/layout7.xml"/><Relationship Id="rId91" Type="http://schemas.microsoft.com/office/2007/relationships/diagramDrawing" Target="diagrams/drawing7.xml"/><Relationship Id="rId96" Type="http://schemas.openxmlformats.org/officeDocument/2006/relationships/hyperlink" Target="http://www.revista.unam.mx/vol.10/num7/art40/int40-1.htm"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footer" Target="footer1.xml"/><Relationship Id="rId28" Type="http://schemas.openxmlformats.org/officeDocument/2006/relationships/header" Target="header4.xml"/><Relationship Id="rId36" Type="http://schemas.openxmlformats.org/officeDocument/2006/relationships/diagramLayout" Target="diagrams/layout1.xml"/><Relationship Id="rId49" Type="http://schemas.openxmlformats.org/officeDocument/2006/relationships/image" Target="media/image19.emf"/><Relationship Id="rId57" Type="http://schemas.openxmlformats.org/officeDocument/2006/relationships/image" Target="media/image22.emf"/><Relationship Id="rId106" Type="http://schemas.openxmlformats.org/officeDocument/2006/relationships/hyperlink" Target="https://www.oas.org/docs/desigualdad/LIBRO-DESIGUALDAD.pdf" TargetMode="External"/><Relationship Id="rId10" Type="http://schemas.openxmlformats.org/officeDocument/2006/relationships/image" Target="media/image2.tiff"/><Relationship Id="rId31" Type="http://schemas.openxmlformats.org/officeDocument/2006/relationships/image" Target="media/image12.png"/><Relationship Id="rId44" Type="http://schemas.openxmlformats.org/officeDocument/2006/relationships/diagramQuickStyle" Target="diagrams/quickStyle2.xml"/><Relationship Id="rId52" Type="http://schemas.openxmlformats.org/officeDocument/2006/relationships/diagramQuickStyle" Target="diagrams/quickStyle3.xml"/><Relationship Id="rId60" Type="http://schemas.openxmlformats.org/officeDocument/2006/relationships/diagramLayout" Target="diagrams/layout4.xml"/><Relationship Id="rId65" Type="http://schemas.openxmlformats.org/officeDocument/2006/relationships/image" Target="media/image25.emf"/><Relationship Id="rId73" Type="http://schemas.openxmlformats.org/officeDocument/2006/relationships/image" Target="media/image28.emf"/><Relationship Id="rId78" Type="http://schemas.openxmlformats.org/officeDocument/2006/relationships/diagramData" Target="diagrams/data6.xml"/><Relationship Id="rId81" Type="http://schemas.openxmlformats.org/officeDocument/2006/relationships/diagramColors" Target="diagrams/colors6.xml"/><Relationship Id="rId86" Type="http://schemas.openxmlformats.org/officeDocument/2006/relationships/image" Target="media/image36.emf"/><Relationship Id="rId94" Type="http://schemas.openxmlformats.org/officeDocument/2006/relationships/hyperlink" Target="http://www.milenio.com/politica/luminarias-lamparas_Monterrey-aprueban_licitacion_0_257974720.html" TargetMode="External"/><Relationship Id="rId99" Type="http://schemas.openxmlformats.org/officeDocument/2006/relationships/hyperlink" Target="http://www.who.int/roadsafety/decade_of_action/plan/spanish.pdf" TargetMode="External"/><Relationship Id="rId101" Type="http://schemas.openxmlformats.org/officeDocument/2006/relationships/hyperlink" Target="http://www.cidh.org/countryrep/Seguridad/seguridadindice.sp.htm" TargetMode="Externa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8.jpeg"/><Relationship Id="rId39" Type="http://schemas.microsoft.com/office/2007/relationships/diagramDrawing" Target="diagrams/drawing1.xml"/><Relationship Id="rId109" Type="http://schemas.openxmlformats.org/officeDocument/2006/relationships/footer" Target="footer3.xml"/><Relationship Id="rId34" Type="http://schemas.openxmlformats.org/officeDocument/2006/relationships/chart" Target="charts/chart4.xml"/><Relationship Id="rId50" Type="http://schemas.openxmlformats.org/officeDocument/2006/relationships/diagramData" Target="diagrams/data3.xml"/><Relationship Id="rId55" Type="http://schemas.openxmlformats.org/officeDocument/2006/relationships/image" Target="media/image20.emf"/><Relationship Id="rId76" Type="http://schemas.openxmlformats.org/officeDocument/2006/relationships/image" Target="media/image31.emf"/><Relationship Id="rId97" Type="http://schemas.openxmlformats.org/officeDocument/2006/relationships/hyperlink" Target="http://www.oas.org/es/sap/dgpe/pub/coleccion5RG.pdf" TargetMode="External"/><Relationship Id="rId104" Type="http://schemas.openxmlformats.org/officeDocument/2006/relationships/hyperlink" Target="http://mexico.itdp.org/noticias/manual-de-participacion-en-politicas-publicas-de-movilidad-y-desarrollo-urbano/" TargetMode="External"/><Relationship Id="rId7" Type="http://schemas.openxmlformats.org/officeDocument/2006/relationships/footnotes" Target="footnotes.xml"/><Relationship Id="rId71" Type="http://schemas.openxmlformats.org/officeDocument/2006/relationships/diagramColors" Target="diagrams/colors5.xml"/><Relationship Id="rId92" Type="http://schemas.openxmlformats.org/officeDocument/2006/relationships/image" Target="media/image37.emf"/></Relationships>
</file>

<file path=word/_rels/footnotes.xml.rels><?xml version="1.0" encoding="UTF-8" standalone="yes"?>
<Relationships xmlns="http://schemas.openxmlformats.org/package/2006/relationships"><Relationship Id="rId1" Type="http://schemas.openxmlformats.org/officeDocument/2006/relationships/hyperlink" Target="http://www.oas.org/es/sap/dgpe/pub/coleccion5RG.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_rels/header4.xml.rels><?xml version="1.0" encoding="UTF-8" standalone="yes"?>
<Relationships xmlns="http://schemas.openxmlformats.org/package/2006/relationships"><Relationship Id="rId1" Type="http://schemas.openxmlformats.org/officeDocument/2006/relationships/image" Target="media/image11.png"/></Relationships>
</file>

<file path=word/_rels/header5.xml.rels><?xml version="1.0" encoding="UTF-8" standalone="yes"?>
<Relationships xmlns="http://schemas.openxmlformats.org/package/2006/relationships"><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oleObject" Target="Libro3"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Macintosh%20HD:Users:aissazamarripa:Library:Application%20Support:Microsoft:Office:Office%202011%20AutoRecovery:Libro3%20(versi&#243;n%201).xlsb"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Macintosh%20HD:Users:aissazamarripa:Library:Application%20Support:Microsoft:Office:Office%202011%20AutoRecovery:Libro3%20(versi&#243;n%201).xlsb"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EthelPura\Downloads\BIINEGI_BIINEGI20160105115930.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s-ES" sz="1200">
                <a:latin typeface="Arial"/>
                <a:cs typeface="Arial"/>
              </a:rPr>
              <a:t>Iniciar un negocio en Monterrey y en América</a:t>
            </a:r>
            <a:r>
              <a:rPr lang="es-ES" sz="1200" baseline="0">
                <a:latin typeface="Arial"/>
                <a:cs typeface="Arial"/>
              </a:rPr>
              <a:t> Latina</a:t>
            </a:r>
            <a:endParaRPr lang="es-ES" sz="1200">
              <a:latin typeface="Arial"/>
              <a:cs typeface="Arial"/>
            </a:endParaRPr>
          </a:p>
        </c:rich>
      </c:tx>
      <c:layout>
        <c:manualLayout>
          <c:xMode val="edge"/>
          <c:yMode val="edge"/>
          <c:x val="0.15568911478269501"/>
          <c:y val="2.8419182948490201E-2"/>
        </c:manualLayout>
      </c:layout>
      <c:overlay val="0"/>
    </c:title>
    <c:autoTitleDeleted val="0"/>
    <c:plotArea>
      <c:layout/>
      <c:barChart>
        <c:barDir val="col"/>
        <c:grouping val="stacked"/>
        <c:varyColors val="0"/>
        <c:ser>
          <c:idx val="0"/>
          <c:order val="0"/>
          <c:tx>
            <c:strRef>
              <c:f>Hoja1!$B$13</c:f>
              <c:strCache>
                <c:ptCount val="1"/>
                <c:pt idx="0">
                  <c:v>América Latina</c:v>
                </c:pt>
              </c:strCache>
            </c:strRef>
          </c:tx>
          <c:invertIfNegative val="0"/>
          <c:cat>
            <c:strRef>
              <c:f>Hoja1!$A$14:$A$17</c:f>
              <c:strCache>
                <c:ptCount val="4"/>
                <c:pt idx="0">
                  <c:v>Procedimientos</c:v>
                </c:pt>
                <c:pt idx="1">
                  <c:v>Días</c:v>
                </c:pt>
                <c:pt idx="2">
                  <c:v>Costo</c:v>
                </c:pt>
                <c:pt idx="3">
                  <c:v>Pago mínimo de capital</c:v>
                </c:pt>
              </c:strCache>
            </c:strRef>
          </c:cat>
          <c:val>
            <c:numRef>
              <c:f>Hoja1!$B$14:$B$17</c:f>
              <c:numCache>
                <c:formatCode>General</c:formatCode>
                <c:ptCount val="4"/>
                <c:pt idx="0">
                  <c:v>8.3000000000000007</c:v>
                </c:pt>
                <c:pt idx="1">
                  <c:v>29.4</c:v>
                </c:pt>
                <c:pt idx="2">
                  <c:v>31</c:v>
                </c:pt>
                <c:pt idx="3">
                  <c:v>2.8</c:v>
                </c:pt>
              </c:numCache>
            </c:numRef>
          </c:val>
          <c:extLst xmlns:c16r2="http://schemas.microsoft.com/office/drawing/2015/06/chart">
            <c:ext xmlns:c16="http://schemas.microsoft.com/office/drawing/2014/chart" uri="{C3380CC4-5D6E-409C-BE32-E72D297353CC}">
              <c16:uniqueId val="{00000000-CE1E-474E-BECB-2E48494F1002}"/>
            </c:ext>
          </c:extLst>
        </c:ser>
        <c:ser>
          <c:idx val="1"/>
          <c:order val="1"/>
          <c:tx>
            <c:strRef>
              <c:f>Hoja1!$C$13</c:f>
              <c:strCache>
                <c:ptCount val="1"/>
                <c:pt idx="0">
                  <c:v>Monterrey</c:v>
                </c:pt>
              </c:strCache>
            </c:strRef>
          </c:tx>
          <c:invertIfNegative val="0"/>
          <c:cat>
            <c:strRef>
              <c:f>Hoja1!$A$14:$A$17</c:f>
              <c:strCache>
                <c:ptCount val="4"/>
                <c:pt idx="0">
                  <c:v>Procedimientos</c:v>
                </c:pt>
                <c:pt idx="1">
                  <c:v>Días</c:v>
                </c:pt>
                <c:pt idx="2">
                  <c:v>Costo</c:v>
                </c:pt>
                <c:pt idx="3">
                  <c:v>Pago mínimo de capital</c:v>
                </c:pt>
              </c:strCache>
            </c:strRef>
          </c:cat>
          <c:val>
            <c:numRef>
              <c:f>Hoja1!$C$14:$C$17</c:f>
              <c:numCache>
                <c:formatCode>General</c:formatCode>
                <c:ptCount val="4"/>
                <c:pt idx="0">
                  <c:v>6</c:v>
                </c:pt>
                <c:pt idx="1">
                  <c:v>8</c:v>
                </c:pt>
                <c:pt idx="2">
                  <c:v>11.6</c:v>
                </c:pt>
                <c:pt idx="3">
                  <c:v>0</c:v>
                </c:pt>
              </c:numCache>
            </c:numRef>
          </c:val>
          <c:extLst xmlns:c16r2="http://schemas.microsoft.com/office/drawing/2015/06/chart">
            <c:ext xmlns:c16="http://schemas.microsoft.com/office/drawing/2014/chart" uri="{C3380CC4-5D6E-409C-BE32-E72D297353CC}">
              <c16:uniqueId val="{00000001-CE1E-474E-BECB-2E48494F1002}"/>
            </c:ext>
          </c:extLst>
        </c:ser>
        <c:dLbls>
          <c:showLegendKey val="0"/>
          <c:showVal val="0"/>
          <c:showCatName val="0"/>
          <c:showSerName val="0"/>
          <c:showPercent val="0"/>
          <c:showBubbleSize val="0"/>
        </c:dLbls>
        <c:gapWidth val="55"/>
        <c:overlap val="100"/>
        <c:axId val="198355968"/>
        <c:axId val="198374528"/>
      </c:barChart>
      <c:catAx>
        <c:axId val="198355968"/>
        <c:scaling>
          <c:orientation val="minMax"/>
        </c:scaling>
        <c:delete val="0"/>
        <c:axPos val="b"/>
        <c:title>
          <c:tx>
            <c:rich>
              <a:bodyPr/>
              <a:lstStyle/>
              <a:p>
                <a:pPr>
                  <a:defRPr/>
                </a:pPr>
                <a:r>
                  <a:rPr lang="es-ES"/>
                  <a:t>Indicadores</a:t>
                </a:r>
              </a:p>
            </c:rich>
          </c:tx>
          <c:overlay val="0"/>
        </c:title>
        <c:numFmt formatCode="General" sourceLinked="0"/>
        <c:majorTickMark val="none"/>
        <c:minorTickMark val="none"/>
        <c:tickLblPos val="nextTo"/>
        <c:crossAx val="198374528"/>
        <c:crosses val="autoZero"/>
        <c:auto val="1"/>
        <c:lblAlgn val="ctr"/>
        <c:lblOffset val="100"/>
        <c:noMultiLvlLbl val="0"/>
      </c:catAx>
      <c:valAx>
        <c:axId val="198374528"/>
        <c:scaling>
          <c:orientation val="minMax"/>
        </c:scaling>
        <c:delete val="0"/>
        <c:axPos val="l"/>
        <c:majorGridlines/>
        <c:title>
          <c:tx>
            <c:rich>
              <a:bodyPr rot="-5400000" vert="horz"/>
              <a:lstStyle/>
              <a:p>
                <a:pPr>
                  <a:defRPr/>
                </a:pPr>
                <a:r>
                  <a:rPr lang="es-ES"/>
                  <a:t>Cantidad</a:t>
                </a:r>
              </a:p>
            </c:rich>
          </c:tx>
          <c:overlay val="0"/>
        </c:title>
        <c:numFmt formatCode="General" sourceLinked="1"/>
        <c:majorTickMark val="none"/>
        <c:minorTickMark val="none"/>
        <c:tickLblPos val="nextTo"/>
        <c:crossAx val="198355968"/>
        <c:crosses val="autoZero"/>
        <c:crossBetween val="between"/>
      </c:valAx>
    </c:plotArea>
    <c:legend>
      <c:legendPos val="r"/>
      <c:overlay val="0"/>
    </c:legend>
    <c:plotVisOnly val="1"/>
    <c:dispBlanksAs val="gap"/>
    <c:showDLblsOverMax val="0"/>
  </c:chart>
  <c:spPr>
    <a:noFill/>
    <a:ln>
      <a:solidFill>
        <a:sysClr val="windowText" lastClr="000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es-ES" sz="1200">
                <a:latin typeface="Arial" charset="0"/>
                <a:ea typeface="Arial" charset="0"/>
                <a:cs typeface="Arial" charset="0"/>
              </a:rPr>
              <a:t>Autoridades</a:t>
            </a:r>
            <a:r>
              <a:rPr lang="es-ES" sz="1200" baseline="0">
                <a:latin typeface="Arial" charset="0"/>
                <a:ea typeface="Arial" charset="0"/>
                <a:cs typeface="Arial" charset="0"/>
              </a:rPr>
              <a:t> del municipio de Monterrey a las que se les han atribuído hechos </a:t>
            </a:r>
            <a:r>
              <a:rPr lang="es-ES" sz="1200">
                <a:latin typeface="Arial" charset="0"/>
                <a:ea typeface="Arial" charset="0"/>
                <a:cs typeface="Arial" charset="0"/>
              </a:rPr>
              <a:t>violatorios</a:t>
            </a:r>
            <a:r>
              <a:rPr lang="es-ES" sz="1200" baseline="0">
                <a:latin typeface="Arial" charset="0"/>
                <a:ea typeface="Arial" charset="0"/>
                <a:cs typeface="Arial" charset="0"/>
              </a:rPr>
              <a:t> de derechos humanos </a:t>
            </a:r>
            <a:br>
              <a:rPr lang="es-ES" sz="1200" baseline="0">
                <a:latin typeface="Arial" charset="0"/>
                <a:ea typeface="Arial" charset="0"/>
                <a:cs typeface="Arial" charset="0"/>
              </a:rPr>
            </a:br>
            <a:r>
              <a:rPr lang="es-ES" sz="1200" baseline="0">
                <a:latin typeface="Arial" charset="0"/>
                <a:ea typeface="Arial" charset="0"/>
                <a:cs typeface="Arial" charset="0"/>
              </a:rPr>
              <a:t>(2012-2015)</a:t>
            </a:r>
            <a:endParaRPr lang="es-ES" sz="1200">
              <a:latin typeface="Arial" charset="0"/>
              <a:ea typeface="Arial" charset="0"/>
              <a:cs typeface="Arial" charset="0"/>
            </a:endParaRPr>
          </a:p>
        </c:rich>
      </c:tx>
      <c:overlay val="0"/>
    </c:title>
    <c:autoTitleDeleted val="0"/>
    <c:plotArea>
      <c:layout/>
      <c:barChart>
        <c:barDir val="col"/>
        <c:grouping val="stacked"/>
        <c:varyColors val="0"/>
        <c:ser>
          <c:idx val="0"/>
          <c:order val="0"/>
          <c:tx>
            <c:v>2012</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Hoja2!$B$5:$B$12</c:f>
              <c:numCache>
                <c:formatCode>General</c:formatCode>
                <c:ptCount val="8"/>
                <c:pt idx="0">
                  <c:v>12</c:v>
                </c:pt>
                <c:pt idx="1">
                  <c:v>1</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0-F036-4F36-8650-A4C3343F5064}"/>
            </c:ext>
          </c:extLst>
        </c:ser>
        <c:ser>
          <c:idx val="1"/>
          <c:order val="1"/>
          <c:tx>
            <c:v>2013</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Hoja2!$C$5:$C$12</c:f>
              <c:numCache>
                <c:formatCode>General</c:formatCode>
                <c:ptCount val="8"/>
                <c:pt idx="0">
                  <c:v>11</c:v>
                </c:pt>
                <c:pt idx="1">
                  <c:v>2</c:v>
                </c:pt>
                <c:pt idx="2">
                  <c:v>1</c:v>
                </c:pt>
                <c:pt idx="3">
                  <c:v>1</c:v>
                </c:pt>
                <c:pt idx="4">
                  <c:v>1</c:v>
                </c:pt>
                <c:pt idx="5">
                  <c:v>2</c:v>
                </c:pt>
                <c:pt idx="6">
                  <c:v>0</c:v>
                </c:pt>
                <c:pt idx="7">
                  <c:v>0</c:v>
                </c:pt>
              </c:numCache>
            </c:numRef>
          </c:val>
          <c:extLst xmlns:c16r2="http://schemas.microsoft.com/office/drawing/2015/06/chart">
            <c:ext xmlns:c16="http://schemas.microsoft.com/office/drawing/2014/chart" uri="{C3380CC4-5D6E-409C-BE32-E72D297353CC}">
              <c16:uniqueId val="{00000001-F036-4F36-8650-A4C3343F5064}"/>
            </c:ext>
          </c:extLst>
        </c:ser>
        <c:ser>
          <c:idx val="2"/>
          <c:order val="2"/>
          <c:tx>
            <c:v>2014</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Hoja2!$D$5:$D$12</c:f>
              <c:numCache>
                <c:formatCode>General</c:formatCode>
                <c:ptCount val="8"/>
                <c:pt idx="0">
                  <c:v>60</c:v>
                </c:pt>
                <c:pt idx="1">
                  <c:v>1</c:v>
                </c:pt>
                <c:pt idx="2">
                  <c:v>0</c:v>
                </c:pt>
                <c:pt idx="3">
                  <c:v>1</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2-F036-4F36-8650-A4C3343F5064}"/>
            </c:ext>
          </c:extLst>
        </c:ser>
        <c:ser>
          <c:idx val="3"/>
          <c:order val="3"/>
          <c:tx>
            <c:v>2015</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Hoja2!$E$5:$E$12</c:f>
              <c:numCache>
                <c:formatCode>General</c:formatCode>
                <c:ptCount val="8"/>
                <c:pt idx="0">
                  <c:v>21</c:v>
                </c:pt>
                <c:pt idx="1">
                  <c:v>4</c:v>
                </c:pt>
                <c:pt idx="2">
                  <c:v>1</c:v>
                </c:pt>
                <c:pt idx="3">
                  <c:v>0</c:v>
                </c:pt>
                <c:pt idx="4">
                  <c:v>0</c:v>
                </c:pt>
                <c:pt idx="5">
                  <c:v>1</c:v>
                </c:pt>
                <c:pt idx="6">
                  <c:v>2</c:v>
                </c:pt>
                <c:pt idx="7">
                  <c:v>1</c:v>
                </c:pt>
              </c:numCache>
            </c:numRef>
          </c:val>
          <c:extLst xmlns:c16r2="http://schemas.microsoft.com/office/drawing/2015/06/chart">
            <c:ext xmlns:c16="http://schemas.microsoft.com/office/drawing/2014/chart" uri="{C3380CC4-5D6E-409C-BE32-E72D297353CC}">
              <c16:uniqueId val="{00000003-F036-4F36-8650-A4C3343F5064}"/>
            </c:ext>
          </c:extLst>
        </c:ser>
        <c:dLbls>
          <c:showLegendKey val="0"/>
          <c:showVal val="0"/>
          <c:showCatName val="0"/>
          <c:showSerName val="0"/>
          <c:showPercent val="0"/>
          <c:showBubbleSize val="0"/>
        </c:dLbls>
        <c:gapWidth val="150"/>
        <c:overlap val="100"/>
        <c:axId val="199182208"/>
        <c:axId val="199188480"/>
      </c:barChart>
      <c:catAx>
        <c:axId val="199182208"/>
        <c:scaling>
          <c:orientation val="minMax"/>
        </c:scaling>
        <c:delete val="0"/>
        <c:axPos val="b"/>
        <c:title>
          <c:tx>
            <c:rich>
              <a:bodyPr/>
              <a:lstStyle/>
              <a:p>
                <a:pPr>
                  <a:defRPr>
                    <a:latin typeface="Arial" charset="0"/>
                    <a:ea typeface="Arial" charset="0"/>
                    <a:cs typeface="Arial" charset="0"/>
                  </a:defRPr>
                </a:pPr>
                <a:r>
                  <a:rPr lang="es-ES">
                    <a:latin typeface="Arial" charset="0"/>
                    <a:ea typeface="Arial" charset="0"/>
                    <a:cs typeface="Arial" charset="0"/>
                  </a:rPr>
                  <a:t>Autoridades</a:t>
                </a:r>
              </a:p>
            </c:rich>
          </c:tx>
          <c:overlay val="0"/>
        </c:title>
        <c:numFmt formatCode="General" sourceLinked="0"/>
        <c:majorTickMark val="out"/>
        <c:minorTickMark val="none"/>
        <c:tickLblPos val="nextTo"/>
        <c:txPr>
          <a:bodyPr/>
          <a:lstStyle/>
          <a:p>
            <a:pPr>
              <a:defRPr sz="800">
                <a:latin typeface="Arial"/>
                <a:cs typeface="Arial"/>
              </a:defRPr>
            </a:pPr>
            <a:endParaRPr lang="es-MX"/>
          </a:p>
        </c:txPr>
        <c:crossAx val="199188480"/>
        <c:crosses val="autoZero"/>
        <c:auto val="1"/>
        <c:lblAlgn val="ctr"/>
        <c:lblOffset val="100"/>
        <c:noMultiLvlLbl val="0"/>
      </c:catAx>
      <c:valAx>
        <c:axId val="199188480"/>
        <c:scaling>
          <c:orientation val="minMax"/>
        </c:scaling>
        <c:delete val="0"/>
        <c:axPos val="l"/>
        <c:majorGridlines/>
        <c:title>
          <c:tx>
            <c:rich>
              <a:bodyPr rot="-5400000" vert="horz"/>
              <a:lstStyle/>
              <a:p>
                <a:pPr>
                  <a:defRPr/>
                </a:pPr>
                <a:r>
                  <a:rPr lang="es-ES">
                    <a:latin typeface="Arial" charset="0"/>
                    <a:ea typeface="Arial" charset="0"/>
                    <a:cs typeface="Arial" charset="0"/>
                  </a:rPr>
                  <a:t>Número de hechos</a:t>
                </a:r>
                <a:r>
                  <a:rPr lang="es-ES" baseline="0">
                    <a:latin typeface="Arial" charset="0"/>
                    <a:ea typeface="Arial" charset="0"/>
                    <a:cs typeface="Arial" charset="0"/>
                  </a:rPr>
                  <a:t> violatorios</a:t>
                </a:r>
                <a:endParaRPr lang="es-ES">
                  <a:latin typeface="Arial" charset="0"/>
                  <a:ea typeface="Arial" charset="0"/>
                  <a:cs typeface="Arial" charset="0"/>
                </a:endParaRPr>
              </a:p>
            </c:rich>
          </c:tx>
          <c:overlay val="0"/>
        </c:title>
        <c:numFmt formatCode="General" sourceLinked="1"/>
        <c:majorTickMark val="out"/>
        <c:minorTickMark val="none"/>
        <c:tickLblPos val="nextTo"/>
        <c:txPr>
          <a:bodyPr/>
          <a:lstStyle/>
          <a:p>
            <a:pPr>
              <a:defRPr>
                <a:latin typeface="Arial" charset="0"/>
                <a:ea typeface="Arial" charset="0"/>
                <a:cs typeface="Arial" charset="0"/>
              </a:defRPr>
            </a:pPr>
            <a:endParaRPr lang="es-MX"/>
          </a:p>
        </c:txPr>
        <c:crossAx val="199182208"/>
        <c:crosses val="autoZero"/>
        <c:crossBetween val="between"/>
      </c:valAx>
    </c:plotArea>
    <c:legend>
      <c:legendPos val="r"/>
      <c:legendEntry>
        <c:idx val="0"/>
        <c:txPr>
          <a:bodyPr/>
          <a:lstStyle/>
          <a:p>
            <a:pPr>
              <a:defRPr>
                <a:latin typeface="Arial" charset="0"/>
                <a:ea typeface="Arial" charset="0"/>
                <a:cs typeface="Arial" charset="0"/>
              </a:defRPr>
            </a:pPr>
            <a:endParaRPr lang="es-MX"/>
          </a:p>
        </c:txPr>
      </c:legendEntry>
      <c:legendEntry>
        <c:idx val="1"/>
        <c:txPr>
          <a:bodyPr/>
          <a:lstStyle/>
          <a:p>
            <a:pPr>
              <a:defRPr>
                <a:latin typeface="Arial" charset="0"/>
                <a:ea typeface="Arial" charset="0"/>
                <a:cs typeface="Arial" charset="0"/>
              </a:defRPr>
            </a:pPr>
            <a:endParaRPr lang="es-MX"/>
          </a:p>
        </c:txPr>
      </c:legendEntry>
      <c:legendEntry>
        <c:idx val="2"/>
        <c:txPr>
          <a:bodyPr/>
          <a:lstStyle/>
          <a:p>
            <a:pPr>
              <a:defRPr>
                <a:latin typeface="Arial" charset="0"/>
                <a:ea typeface="Arial" charset="0"/>
                <a:cs typeface="Arial" charset="0"/>
              </a:defRPr>
            </a:pPr>
            <a:endParaRPr lang="es-MX"/>
          </a:p>
        </c:txPr>
      </c:legendEntry>
      <c:legendEntry>
        <c:idx val="3"/>
        <c:txPr>
          <a:bodyPr/>
          <a:lstStyle/>
          <a:p>
            <a:pPr>
              <a:defRPr>
                <a:latin typeface="Arial" charset="0"/>
                <a:ea typeface="Arial" charset="0"/>
                <a:cs typeface="Arial" charset="0"/>
              </a:defRPr>
            </a:pPr>
            <a:endParaRPr lang="es-MX"/>
          </a:p>
        </c:txPr>
      </c:legendEntry>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latin typeface="Arial" charset="0"/>
                <a:ea typeface="Arial" charset="0"/>
                <a:cs typeface="Arial" charset="0"/>
              </a:defRPr>
            </a:pPr>
            <a:r>
              <a:rPr lang="es-ES" sz="1200">
                <a:latin typeface="Arial" charset="0"/>
                <a:ea typeface="Arial" charset="0"/>
                <a:cs typeface="Arial" charset="0"/>
              </a:rPr>
              <a:t>Recomendaciones de la CEDHNL emitidas a las autoridades</a:t>
            </a:r>
            <a:r>
              <a:rPr lang="es-ES" sz="1200" baseline="0">
                <a:latin typeface="Arial" charset="0"/>
                <a:ea typeface="Arial" charset="0"/>
                <a:cs typeface="Arial" charset="0"/>
              </a:rPr>
              <a:t> del municipio de Monterrey </a:t>
            </a:r>
            <a:r>
              <a:rPr lang="es-ES" sz="1200">
                <a:latin typeface="Arial" charset="0"/>
                <a:ea typeface="Arial" charset="0"/>
                <a:cs typeface="Arial" charset="0"/>
              </a:rPr>
              <a:t>(2012-2015)</a:t>
            </a:r>
          </a:p>
        </c:rich>
      </c:tx>
      <c:overlay val="0"/>
    </c:title>
    <c:autoTitleDeleted val="0"/>
    <c:plotArea>
      <c:layout>
        <c:manualLayout>
          <c:layoutTarget val="inner"/>
          <c:xMode val="edge"/>
          <c:yMode val="edge"/>
          <c:x val="2.0366598778004098E-2"/>
          <c:y val="0.19047619047618999"/>
          <c:w val="0.40190088255261402"/>
          <c:h val="0.52857142857142903"/>
        </c:manualLayout>
      </c:layout>
      <c:pieChart>
        <c:varyColors val="1"/>
        <c:ser>
          <c:idx val="0"/>
          <c:order val="0"/>
          <c:cat>
            <c:strRef>
              <c:f>Hoja3!$A$8:$A$17</c:f>
              <c:strCache>
                <c:ptCount val="10"/>
                <c:pt idx="0">
                  <c:v>Presidenta Municipal de Monterrey</c:v>
                </c:pt>
                <c:pt idx="1">
                  <c:v>Municipio de Monterrey</c:v>
                </c:pt>
                <c:pt idx="2">
                  <c:v>Secretario de Policía Preventiva Municipal de Monterrey</c:v>
                </c:pt>
                <c:pt idx="3">
                  <c:v>Secretario de la Policía Municipal de Monterrey</c:v>
                </c:pt>
                <c:pt idx="4">
                  <c:v>Secretario de Desarrollo Humano y Social del municipio de Monterrey</c:v>
                </c:pt>
                <c:pt idx="5">
                  <c:v>Secretario del R. Ayuntamiento de Monterrey,</c:v>
                </c:pt>
                <c:pt idx="6">
                  <c:v>Secretario de la Contraloría de Monterrey</c:v>
                </c:pt>
                <c:pt idx="7">
                  <c:v>Titular de la Secretaría de Desarrollo Urbano y Ecología de Monterrey</c:v>
                </c:pt>
                <c:pt idx="8">
                  <c:v> Secretario de Seguridad Pública y Vialidad de Monterrey</c:v>
                </c:pt>
                <c:pt idx="9">
                  <c:v> Secretaría de Servicios Públicos del Municipio de Monterrey</c:v>
                </c:pt>
              </c:strCache>
            </c:strRef>
          </c:cat>
          <c:val>
            <c:numRef>
              <c:f>Hoja3!$B$8:$B$17</c:f>
              <c:numCache>
                <c:formatCode>General</c:formatCode>
                <c:ptCount val="10"/>
                <c:pt idx="0">
                  <c:v>2</c:v>
                </c:pt>
                <c:pt idx="1">
                  <c:v>1</c:v>
                </c:pt>
                <c:pt idx="2">
                  <c:v>1</c:v>
                </c:pt>
                <c:pt idx="3">
                  <c:v>2</c:v>
                </c:pt>
                <c:pt idx="4">
                  <c:v>1</c:v>
                </c:pt>
                <c:pt idx="5">
                  <c:v>1</c:v>
                </c:pt>
                <c:pt idx="6">
                  <c:v>1</c:v>
                </c:pt>
                <c:pt idx="7">
                  <c:v>1</c:v>
                </c:pt>
                <c:pt idx="8">
                  <c:v>7</c:v>
                </c:pt>
                <c:pt idx="9">
                  <c:v>1</c:v>
                </c:pt>
              </c:numCache>
            </c:numRef>
          </c:val>
          <c:extLst xmlns:c16r2="http://schemas.microsoft.com/office/drawing/2015/06/chart">
            <c:ext xmlns:c16="http://schemas.microsoft.com/office/drawing/2014/chart" uri="{C3380CC4-5D6E-409C-BE32-E72D297353CC}">
              <c16:uniqueId val="{00000000-D396-4695-BDE5-1B29617B925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44715999094817799"/>
          <c:y val="0.14235713247214399"/>
          <c:w val="0.50758090065625705"/>
          <c:h val="0.84860507596900203"/>
        </c:manualLayout>
      </c:layout>
      <c:overlay val="0"/>
      <c:txPr>
        <a:bodyPr/>
        <a:lstStyle/>
        <a:p>
          <a:pPr>
            <a:defRPr>
              <a:latin typeface="Arial" charset="0"/>
              <a:ea typeface="Arial" charset="0"/>
              <a:cs typeface="Arial" charset="0"/>
            </a:defRPr>
          </a:pPr>
          <a:endParaRPr lang="es-MX"/>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charset="0"/>
                <a:ea typeface="Arial" charset="0"/>
                <a:cs typeface="Arial" charset="0"/>
              </a:defRPr>
            </a:pPr>
            <a:r>
              <a:rPr lang="en-US"/>
              <a:t>Accidentes de tránsito en Monterrey</a:t>
            </a:r>
          </a:p>
        </c:rich>
      </c:tx>
      <c:overlay val="0"/>
      <c:spPr>
        <a:noFill/>
        <a:ln>
          <a:noFill/>
        </a:ln>
        <a:effectLst/>
      </c:spPr>
    </c:title>
    <c:autoTitleDeleted val="0"/>
    <c:plotArea>
      <c:layout>
        <c:manualLayout>
          <c:layoutTarget val="inner"/>
          <c:xMode val="edge"/>
          <c:yMode val="edge"/>
          <c:x val="0.145212245617974"/>
          <c:y val="0.32714544983147498"/>
          <c:w val="0.82763228934468702"/>
          <c:h val="0.57742646053090896"/>
        </c:manualLayout>
      </c:layout>
      <c:lineChart>
        <c:grouping val="standard"/>
        <c:varyColors val="0"/>
        <c:ser>
          <c:idx val="0"/>
          <c:order val="0"/>
          <c:spPr>
            <a:ln w="28575" cap="rnd">
              <a:solidFill>
                <a:schemeClr val="accent1"/>
              </a:solidFill>
              <a:round/>
            </a:ln>
            <a:effectLst/>
          </c:spPr>
          <c:marker>
            <c:symbol val="none"/>
          </c:marker>
          <c:dLbls>
            <c:dLbl>
              <c:idx val="0"/>
              <c:layout>
                <c:manualLayout>
                  <c:x val="-3.4343434343434398E-2"/>
                  <c:y val="-1.851851851851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DD9-4E69-9E3B-BE3C7E9E586D}"/>
                </c:ext>
                <c:ext xmlns:c15="http://schemas.microsoft.com/office/drawing/2012/chart" uri="{CE6537A1-D6FC-4f65-9D91-7224C49458BB}"/>
              </c:extLst>
            </c:dLbl>
            <c:dLbl>
              <c:idx val="1"/>
              <c:layout>
                <c:manualLayout>
                  <c:x val="-3.6363636363636397E-2"/>
                  <c:y val="4.1666666666666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DD9-4E69-9E3B-BE3C7E9E586D}"/>
                </c:ext>
                <c:ext xmlns:c15="http://schemas.microsoft.com/office/drawing/2012/chart" uri="{CE6537A1-D6FC-4f65-9D91-7224C49458BB}"/>
              </c:extLst>
            </c:dLbl>
            <c:dLbl>
              <c:idx val="2"/>
              <c:layout>
                <c:manualLayout>
                  <c:x val="-4.2424242424242399E-2"/>
                  <c:y val="-3.70370370370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DD9-4E69-9E3B-BE3C7E9E586D}"/>
                </c:ext>
                <c:ext xmlns:c15="http://schemas.microsoft.com/office/drawing/2012/chart" uri="{CE6537A1-D6FC-4f65-9D91-7224C49458BB}"/>
              </c:extLst>
            </c:dLbl>
            <c:dLbl>
              <c:idx val="3"/>
              <c:layout>
                <c:manualLayout>
                  <c:x val="-4.4444444444444502E-2"/>
                  <c:y val="6.01851851851850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DD9-4E69-9E3B-BE3C7E9E586D}"/>
                </c:ext>
                <c:ext xmlns:c15="http://schemas.microsoft.com/office/drawing/2012/chart" uri="{CE6537A1-D6FC-4f65-9D91-7224C49458BB}"/>
              </c:extLst>
            </c:dLbl>
            <c:dLbl>
              <c:idx val="4"/>
              <c:layout>
                <c:manualLayout>
                  <c:x val="-4.0404040404040401E-2"/>
                  <c:y val="4.62964785651793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DD9-4E69-9E3B-BE3C7E9E586D}"/>
                </c:ext>
                <c:ext xmlns:c15="http://schemas.microsoft.com/office/drawing/2012/chart" uri="{CE6537A1-D6FC-4f65-9D91-7224C49458BB}">
                  <c15:layout>
                    <c:manualLayout>
                      <c:w val="6.6828282828282806E-2"/>
                      <c:h val="6.4745552639253398E-2"/>
                    </c:manualLayout>
                  </c15:layout>
                </c:ext>
              </c:extLst>
            </c:dLbl>
            <c:dLbl>
              <c:idx val="5"/>
              <c:layout>
                <c:manualLayout>
                  <c:x val="-4.2424242424242399E-2"/>
                  <c:y val="7.40740740740740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DD9-4E69-9E3B-BE3C7E9E586D}"/>
                </c:ext>
                <c:ext xmlns:c15="http://schemas.microsoft.com/office/drawing/2012/chart" uri="{CE6537A1-D6FC-4f65-9D91-7224C49458BB}"/>
              </c:extLst>
            </c:dLbl>
            <c:dLbl>
              <c:idx val="6"/>
              <c:layout>
                <c:manualLayout>
                  <c:x val="-4.24242424242426E-2"/>
                  <c:y val="0.1388888888888890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DD9-4E69-9E3B-BE3C7E9E586D}"/>
                </c:ext>
                <c:ext xmlns:c15="http://schemas.microsoft.com/office/drawing/2012/chart" uri="{CE6537A1-D6FC-4f65-9D91-7224C49458BB}"/>
              </c:extLst>
            </c:dLbl>
            <c:dLbl>
              <c:idx val="7"/>
              <c:layout>
                <c:manualLayout>
                  <c:x val="-4.0404040404040401E-2"/>
                  <c:y val="4.1666666666666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DD9-4E69-9E3B-BE3C7E9E586D}"/>
                </c:ext>
                <c:ext xmlns:c15="http://schemas.microsoft.com/office/drawing/2012/chart" uri="{CE6537A1-D6FC-4f65-9D91-7224C49458BB}"/>
              </c:extLst>
            </c:dLbl>
            <c:dLbl>
              <c:idx val="8"/>
              <c:layout>
                <c:manualLayout>
                  <c:x val="-4.24242424242426E-2"/>
                  <c:y val="6.01851851851852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DD9-4E69-9E3B-BE3C7E9E586D}"/>
                </c:ext>
                <c:ext xmlns:c15="http://schemas.microsoft.com/office/drawing/2012/chart" uri="{CE6537A1-D6FC-4f65-9D91-7224C49458BB}"/>
              </c:extLst>
            </c:dLbl>
            <c:dLbl>
              <c:idx val="9"/>
              <c:layout>
                <c:manualLayout>
                  <c:x val="-4.0404040404040401E-2"/>
                  <c:y val="6.01851851851852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DD9-4E69-9E3B-BE3C7E9E586D}"/>
                </c:ext>
                <c:ext xmlns:c15="http://schemas.microsoft.com/office/drawing/2012/chart" uri="{CE6537A1-D6FC-4f65-9D91-7224C49458BB}"/>
              </c:extLst>
            </c:dLbl>
            <c:dLbl>
              <c:idx val="10"/>
              <c:layout>
                <c:manualLayout>
                  <c:x val="-2.6262626262626401E-2"/>
                  <c:y val="-4.62962962962963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DD9-4E69-9E3B-BE3C7E9E58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charset="0"/>
                    <a:ea typeface="Arial" charset="0"/>
                    <a:cs typeface="Arial"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[BIINEGI_BIINEGI20160105115930.XLS]Hoja1!$A$2:$A$12</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[BIINEGI_BIINEGI20160105115930.XLS]Hoja1!$B$2:$B$12</c:f>
              <c:numCache>
                <c:formatCode>_(* #,##0_);_(* \(#,##0\);_(* "-"_);_(@_)</c:formatCode>
                <c:ptCount val="11"/>
                <c:pt idx="0">
                  <c:v>27443</c:v>
                </c:pt>
                <c:pt idx="1">
                  <c:v>23476</c:v>
                </c:pt>
                <c:pt idx="2">
                  <c:v>23698</c:v>
                </c:pt>
                <c:pt idx="3">
                  <c:v>20821</c:v>
                </c:pt>
                <c:pt idx="4">
                  <c:v>19753</c:v>
                </c:pt>
                <c:pt idx="5">
                  <c:v>21358</c:v>
                </c:pt>
                <c:pt idx="6">
                  <c:v>31208</c:v>
                </c:pt>
                <c:pt idx="7">
                  <c:v>19946</c:v>
                </c:pt>
                <c:pt idx="8">
                  <c:v>21066</c:v>
                </c:pt>
                <c:pt idx="9">
                  <c:v>26253</c:v>
                </c:pt>
                <c:pt idx="10">
                  <c:v>32944</c:v>
                </c:pt>
              </c:numCache>
            </c:numRef>
          </c:val>
          <c:smooth val="0"/>
          <c:extLst xmlns:c16r2="http://schemas.microsoft.com/office/drawing/2015/06/chart">
            <c:ext xmlns:c16="http://schemas.microsoft.com/office/drawing/2014/chart" uri="{C3380CC4-5D6E-409C-BE32-E72D297353CC}">
              <c16:uniqueId val="{0000000B-9DD9-4E69-9E3B-BE3C7E9E586D}"/>
            </c:ext>
          </c:extLst>
        </c:ser>
        <c:dLbls>
          <c:showLegendKey val="0"/>
          <c:showVal val="0"/>
          <c:showCatName val="0"/>
          <c:showSerName val="0"/>
          <c:showPercent val="0"/>
          <c:showBubbleSize val="0"/>
        </c:dLbls>
        <c:marker val="1"/>
        <c:smooth val="0"/>
        <c:axId val="199245184"/>
        <c:axId val="199255552"/>
      </c:lineChart>
      <c:catAx>
        <c:axId val="199245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charset="0"/>
                    <a:ea typeface="Arial" charset="0"/>
                    <a:cs typeface="Arial" charset="0"/>
                  </a:defRPr>
                </a:pPr>
                <a:r>
                  <a:rPr lang="es-MX"/>
                  <a:t>Año</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s-MX"/>
          </a:p>
        </c:txPr>
        <c:crossAx val="199255552"/>
        <c:crosses val="autoZero"/>
        <c:auto val="1"/>
        <c:lblAlgn val="ctr"/>
        <c:lblOffset val="100"/>
        <c:noMultiLvlLbl val="0"/>
      </c:catAx>
      <c:valAx>
        <c:axId val="199255552"/>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charset="0"/>
                    <a:ea typeface="Arial" charset="0"/>
                    <a:cs typeface="Arial" charset="0"/>
                  </a:defRPr>
                </a:pPr>
                <a:r>
                  <a:rPr lang="en-US"/>
                  <a:t>Número de Accidentes</a:t>
                </a:r>
              </a:p>
            </c:rich>
          </c:tx>
          <c:overlay val="0"/>
          <c:spPr>
            <a:noFill/>
            <a:ln>
              <a:noFill/>
            </a:ln>
            <a:effectLst/>
          </c:sp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s-MX"/>
          </a:p>
        </c:txPr>
        <c:crossAx val="199245184"/>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charset="0"/>
          <a:ea typeface="Arial" charset="0"/>
          <a:cs typeface="Arial" charset="0"/>
        </a:defRPr>
      </a:pPr>
      <a:endParaRPr lang="es-MX"/>
    </a:p>
  </c:txPr>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5A01BC8-D354-2947-99B1-F8E930A34ABD}" type="doc">
      <dgm:prSet loTypeId="urn:microsoft.com/office/officeart/2005/8/layout/cycle3" loCatId="" qsTypeId="urn:microsoft.com/office/officeart/2005/8/quickstyle/simple4" qsCatId="simple" csTypeId="urn:microsoft.com/office/officeart/2005/8/colors/accent2_2" csCatId="accent2" phldr="1"/>
      <dgm:spPr/>
      <dgm:t>
        <a:bodyPr/>
        <a:lstStyle/>
        <a:p>
          <a:endParaRPr lang="es-ES"/>
        </a:p>
      </dgm:t>
    </dgm:pt>
    <dgm:pt modelId="{595ADB62-8B02-4248-B327-7389B027A5E6}">
      <dgm:prSet/>
      <dgm:spPr>
        <a:xfrm>
          <a:off x="1244651" y="422084"/>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 Desarrollo Institucional</a:t>
          </a:r>
          <a:endParaRPr lang="es-ES_tradnl" dirty="0">
            <a:solidFill>
              <a:sysClr val="window" lastClr="FFFFFF"/>
            </a:solidFill>
            <a:latin typeface="Cambria"/>
            <a:ea typeface="+mn-ea"/>
            <a:cs typeface="+mn-cs"/>
          </a:endParaRPr>
        </a:p>
      </dgm:t>
    </dgm:pt>
    <dgm:pt modelId="{39951E17-420D-8448-9536-450DBB3B195A}" type="parTrans" cxnId="{51AD9293-F5E3-BB4B-A6F5-3B16A8A5935E}">
      <dgm:prSet/>
      <dgm:spPr/>
      <dgm:t>
        <a:bodyPr/>
        <a:lstStyle/>
        <a:p>
          <a:endParaRPr lang="es-ES"/>
        </a:p>
      </dgm:t>
    </dgm:pt>
    <dgm:pt modelId="{E084BAB7-9143-354E-B817-4667462D040A}" type="sibTrans" cxnId="{51AD9293-F5E3-BB4B-A6F5-3B16A8A5935E}">
      <dgm:prSet/>
      <dgm:spPr>
        <a:xfrm>
          <a:off x="384021" y="407113"/>
          <a:ext cx="3067991" cy="3067991"/>
        </a:xfrm>
        <a:solidFill>
          <a:srgbClr val="C0504D">
            <a:tint val="40000"/>
            <a:hueOff val="0"/>
            <a:satOff val="0"/>
            <a:lumOff val="0"/>
            <a:alphaOff val="0"/>
          </a:srgbClr>
        </a:solidFill>
        <a:ln>
          <a:noFill/>
        </a:ln>
        <a:effectLst>
          <a:outerShdw blurRad="40000" dist="23000" dir="5400000" rotWithShape="0">
            <a:srgbClr val="000000">
              <a:alpha val="35000"/>
            </a:srgbClr>
          </a:outerShdw>
        </a:effectLst>
      </dgm:spPr>
      <dgm:t>
        <a:bodyPr/>
        <a:lstStyle/>
        <a:p>
          <a:endParaRPr lang="es-ES"/>
        </a:p>
      </dgm:t>
    </dgm:pt>
    <dgm:pt modelId="{F7C588D8-F7DA-2B4C-B081-928DC09BD6F4}">
      <dgm:prSet/>
      <dgm:spPr>
        <a:xfrm>
          <a:off x="2488929" y="1326106"/>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II. Desarrollo </a:t>
          </a:r>
          <a:r>
            <a:rPr lang="es-ES_tradnl" b="1" dirty="0" err="1" smtClean="0">
              <a:solidFill>
                <a:sysClr val="window" lastClr="FFFFFF"/>
              </a:solidFill>
              <a:latin typeface="Cambria"/>
              <a:ea typeface="+mn-ea"/>
              <a:cs typeface="+mn-cs"/>
            </a:rPr>
            <a:t>Económico</a:t>
          </a:r>
          <a:endParaRPr lang="es-ES_tradnl" dirty="0">
            <a:solidFill>
              <a:sysClr val="window" lastClr="FFFFFF"/>
            </a:solidFill>
            <a:latin typeface="Cambria"/>
            <a:ea typeface="+mn-ea"/>
            <a:cs typeface="+mn-cs"/>
          </a:endParaRPr>
        </a:p>
      </dgm:t>
    </dgm:pt>
    <dgm:pt modelId="{7CDD8768-1E78-4440-9D35-87F526CA73AE}" type="parTrans" cxnId="{1741CC55-916E-1243-95B5-31CACBD8C8D2}">
      <dgm:prSet/>
      <dgm:spPr/>
      <dgm:t>
        <a:bodyPr/>
        <a:lstStyle/>
        <a:p>
          <a:endParaRPr lang="es-ES"/>
        </a:p>
      </dgm:t>
    </dgm:pt>
    <dgm:pt modelId="{334A0F35-DFB7-884F-A8A5-E3E3F7937A1E}" type="sibTrans" cxnId="{1741CC55-916E-1243-95B5-31CACBD8C8D2}">
      <dgm:prSet/>
      <dgm:spPr/>
      <dgm:t>
        <a:bodyPr/>
        <a:lstStyle/>
        <a:p>
          <a:endParaRPr lang="es-ES"/>
        </a:p>
      </dgm:t>
    </dgm:pt>
    <dgm:pt modelId="{E0B233E7-76AC-D349-8ECF-B5313B8C8FF7}">
      <dgm:prSet/>
      <dgm:spPr>
        <a:xfrm>
          <a:off x="2013657" y="2788843"/>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III. Desarrollo Social:</a:t>
          </a:r>
          <a:endParaRPr lang="es-ES_tradnl" dirty="0">
            <a:solidFill>
              <a:sysClr val="window" lastClr="FFFFFF"/>
            </a:solidFill>
            <a:latin typeface="Cambria"/>
            <a:ea typeface="+mn-ea"/>
            <a:cs typeface="+mn-cs"/>
          </a:endParaRPr>
        </a:p>
      </dgm:t>
    </dgm:pt>
    <dgm:pt modelId="{0C2EBD3A-322A-0240-800C-F8B576DC01DE}" type="parTrans" cxnId="{85297787-0C5B-AC42-BEA8-F32687DD89E7}">
      <dgm:prSet/>
      <dgm:spPr/>
      <dgm:t>
        <a:bodyPr/>
        <a:lstStyle/>
        <a:p>
          <a:endParaRPr lang="es-ES"/>
        </a:p>
      </dgm:t>
    </dgm:pt>
    <dgm:pt modelId="{CD9EC4D9-2BF5-BB47-A939-C2BA5A71A7AF}" type="sibTrans" cxnId="{85297787-0C5B-AC42-BEA8-F32687DD89E7}">
      <dgm:prSet/>
      <dgm:spPr/>
      <dgm:t>
        <a:bodyPr/>
        <a:lstStyle/>
        <a:p>
          <a:endParaRPr lang="es-ES"/>
        </a:p>
      </dgm:t>
    </dgm:pt>
    <dgm:pt modelId="{EA61F117-1C39-2640-87AE-439D526656A5}">
      <dgm:prSet/>
      <dgm:spPr>
        <a:xfrm>
          <a:off x="475644" y="2788843"/>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IV. Desarrollo Ambiental Sustentable:</a:t>
          </a:r>
          <a:endParaRPr lang="es-ES_tradnl" dirty="0">
            <a:solidFill>
              <a:sysClr val="window" lastClr="FFFFFF"/>
            </a:solidFill>
            <a:latin typeface="Cambria"/>
            <a:ea typeface="+mn-ea"/>
            <a:cs typeface="+mn-cs"/>
          </a:endParaRPr>
        </a:p>
      </dgm:t>
    </dgm:pt>
    <dgm:pt modelId="{B59EDBB5-62EE-2B4E-9D51-1E8D87BB8D81}" type="parTrans" cxnId="{3939448E-6498-CC4E-AC65-9A06DB064808}">
      <dgm:prSet/>
      <dgm:spPr/>
      <dgm:t>
        <a:bodyPr/>
        <a:lstStyle/>
        <a:p>
          <a:endParaRPr lang="es-ES"/>
        </a:p>
      </dgm:t>
    </dgm:pt>
    <dgm:pt modelId="{2B125008-F716-CF44-9FB5-E7A00A79E1B7}" type="sibTrans" cxnId="{3939448E-6498-CC4E-AC65-9A06DB064808}">
      <dgm:prSet/>
      <dgm:spPr/>
      <dgm:t>
        <a:bodyPr/>
        <a:lstStyle/>
        <a:p>
          <a:endParaRPr lang="es-ES"/>
        </a:p>
      </dgm:t>
    </dgm:pt>
    <dgm:pt modelId="{52003FC8-3024-4641-A651-8A2BA09AEFBC}">
      <dgm:prSet/>
      <dgm:spPr>
        <a:xfrm>
          <a:off x="372" y="1326106"/>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V. Obras </a:t>
          </a:r>
          <a:r>
            <a:rPr lang="es-ES_tradnl" b="1" dirty="0" err="1" smtClean="0">
              <a:solidFill>
                <a:sysClr val="window" lastClr="FFFFFF"/>
              </a:solidFill>
              <a:latin typeface="Cambria"/>
              <a:ea typeface="+mn-ea"/>
              <a:cs typeface="+mn-cs"/>
            </a:rPr>
            <a:t>Públicas</a:t>
          </a:r>
          <a:r>
            <a:rPr lang="es-ES_tradnl" b="1" dirty="0" smtClean="0">
              <a:solidFill>
                <a:sysClr val="window" lastClr="FFFFFF"/>
              </a:solidFill>
              <a:latin typeface="Cambria"/>
              <a:ea typeface="+mn-ea"/>
              <a:cs typeface="+mn-cs"/>
            </a:rPr>
            <a:t> Proyectadas</a:t>
          </a:r>
          <a:endParaRPr lang="es-ES_tradnl" dirty="0">
            <a:solidFill>
              <a:sysClr val="window" lastClr="FFFFFF"/>
            </a:solidFill>
            <a:latin typeface="Cambria"/>
            <a:ea typeface="+mn-ea"/>
            <a:cs typeface="+mn-cs"/>
          </a:endParaRPr>
        </a:p>
      </dgm:t>
    </dgm:pt>
    <dgm:pt modelId="{B7A3069B-5894-B341-A0D6-539C3384F2A1}" type="parTrans" cxnId="{B787F7C5-7B3E-1E44-8090-336C5F46E308}">
      <dgm:prSet/>
      <dgm:spPr/>
      <dgm:t>
        <a:bodyPr/>
        <a:lstStyle/>
        <a:p>
          <a:endParaRPr lang="es-ES"/>
        </a:p>
      </dgm:t>
    </dgm:pt>
    <dgm:pt modelId="{B6D497CB-ADED-FE4E-8BC9-72817569F29A}" type="sibTrans" cxnId="{B787F7C5-7B3E-1E44-8090-336C5F46E308}">
      <dgm:prSet/>
      <dgm:spPr/>
      <dgm:t>
        <a:bodyPr/>
        <a:lstStyle/>
        <a:p>
          <a:endParaRPr lang="es-ES"/>
        </a:p>
      </dgm:t>
    </dgm:pt>
    <dgm:pt modelId="{1827FF3E-BBF7-5242-BE33-380C1C284529}" type="pres">
      <dgm:prSet presAssocID="{F5A01BC8-D354-2947-99B1-F8E930A34ABD}" presName="Name0" presStyleCnt="0">
        <dgm:presLayoutVars>
          <dgm:dir/>
          <dgm:resizeHandles val="exact"/>
        </dgm:presLayoutVars>
      </dgm:prSet>
      <dgm:spPr/>
      <dgm:t>
        <a:bodyPr/>
        <a:lstStyle/>
        <a:p>
          <a:endParaRPr lang="es-ES"/>
        </a:p>
      </dgm:t>
    </dgm:pt>
    <dgm:pt modelId="{67618443-D448-314C-9A54-6468F2269125}" type="pres">
      <dgm:prSet presAssocID="{F5A01BC8-D354-2947-99B1-F8E930A34ABD}" presName="cycle" presStyleCnt="0"/>
      <dgm:spPr/>
      <dgm:t>
        <a:bodyPr/>
        <a:lstStyle/>
        <a:p>
          <a:endParaRPr lang="es-ES"/>
        </a:p>
      </dgm:t>
    </dgm:pt>
    <dgm:pt modelId="{761560A2-1F84-E144-9F40-2BC95FF13A1B}" type="pres">
      <dgm:prSet presAssocID="{595ADB62-8B02-4248-B327-7389B027A5E6}" presName="nodeFirstNode" presStyleLbl="node1" presStyleIdx="0" presStyleCnt="5">
        <dgm:presLayoutVars>
          <dgm:bulletEnabled val="1"/>
        </dgm:presLayoutVars>
      </dgm:prSet>
      <dgm:spPr>
        <a:prstGeom prst="roundRect">
          <a:avLst/>
        </a:prstGeom>
      </dgm:spPr>
      <dgm:t>
        <a:bodyPr/>
        <a:lstStyle/>
        <a:p>
          <a:endParaRPr lang="es-ES"/>
        </a:p>
      </dgm:t>
    </dgm:pt>
    <dgm:pt modelId="{3F7CE8CE-46EF-CC44-B2C3-5B76F02B8F3E}" type="pres">
      <dgm:prSet presAssocID="{E084BAB7-9143-354E-B817-4667462D040A}" presName="sibTransFirstNode" presStyleLbl="bgShp" presStyleIdx="0" presStyleCnt="1"/>
      <dgm:spPr>
        <a:prstGeom prst="circularArrow">
          <a:avLst>
            <a:gd name="adj1" fmla="val 5544"/>
            <a:gd name="adj2" fmla="val 330680"/>
            <a:gd name="adj3" fmla="val 13919449"/>
            <a:gd name="adj4" fmla="val 17299222"/>
            <a:gd name="adj5" fmla="val 5757"/>
          </a:avLst>
        </a:prstGeom>
      </dgm:spPr>
      <dgm:t>
        <a:bodyPr/>
        <a:lstStyle/>
        <a:p>
          <a:endParaRPr lang="es-ES"/>
        </a:p>
      </dgm:t>
    </dgm:pt>
    <dgm:pt modelId="{A765A813-EB8B-C741-9B38-B57E1272CA25}" type="pres">
      <dgm:prSet presAssocID="{F7C588D8-F7DA-2B4C-B081-928DC09BD6F4}" presName="nodeFollowingNodes" presStyleLbl="node1" presStyleIdx="1" presStyleCnt="5">
        <dgm:presLayoutVars>
          <dgm:bulletEnabled val="1"/>
        </dgm:presLayoutVars>
      </dgm:prSet>
      <dgm:spPr>
        <a:prstGeom prst="roundRect">
          <a:avLst/>
        </a:prstGeom>
      </dgm:spPr>
      <dgm:t>
        <a:bodyPr/>
        <a:lstStyle/>
        <a:p>
          <a:endParaRPr lang="es-ES"/>
        </a:p>
      </dgm:t>
    </dgm:pt>
    <dgm:pt modelId="{7AD9116F-F1EA-9A48-B11A-78CFC7E515BD}" type="pres">
      <dgm:prSet presAssocID="{E0B233E7-76AC-D349-8ECF-B5313B8C8FF7}" presName="nodeFollowingNodes" presStyleLbl="node1" presStyleIdx="2" presStyleCnt="5">
        <dgm:presLayoutVars>
          <dgm:bulletEnabled val="1"/>
        </dgm:presLayoutVars>
      </dgm:prSet>
      <dgm:spPr>
        <a:prstGeom prst="roundRect">
          <a:avLst/>
        </a:prstGeom>
      </dgm:spPr>
      <dgm:t>
        <a:bodyPr/>
        <a:lstStyle/>
        <a:p>
          <a:endParaRPr lang="es-ES"/>
        </a:p>
      </dgm:t>
    </dgm:pt>
    <dgm:pt modelId="{A36DFE74-75A3-4F45-AFAE-FEE140692112}" type="pres">
      <dgm:prSet presAssocID="{EA61F117-1C39-2640-87AE-439D526656A5}" presName="nodeFollowingNodes" presStyleLbl="node1" presStyleIdx="3" presStyleCnt="5">
        <dgm:presLayoutVars>
          <dgm:bulletEnabled val="1"/>
        </dgm:presLayoutVars>
      </dgm:prSet>
      <dgm:spPr>
        <a:prstGeom prst="roundRect">
          <a:avLst/>
        </a:prstGeom>
      </dgm:spPr>
      <dgm:t>
        <a:bodyPr/>
        <a:lstStyle/>
        <a:p>
          <a:endParaRPr lang="es-ES"/>
        </a:p>
      </dgm:t>
    </dgm:pt>
    <dgm:pt modelId="{6CDCAD7C-42FD-754A-9F89-BCF2547A12F3}" type="pres">
      <dgm:prSet presAssocID="{52003FC8-3024-4641-A651-8A2BA09AEFBC}" presName="nodeFollowingNodes" presStyleLbl="node1" presStyleIdx="4" presStyleCnt="5">
        <dgm:presLayoutVars>
          <dgm:bulletEnabled val="1"/>
        </dgm:presLayoutVars>
      </dgm:prSet>
      <dgm:spPr>
        <a:prstGeom prst="roundRect">
          <a:avLst/>
        </a:prstGeom>
      </dgm:spPr>
      <dgm:t>
        <a:bodyPr/>
        <a:lstStyle/>
        <a:p>
          <a:endParaRPr lang="es-ES"/>
        </a:p>
      </dgm:t>
    </dgm:pt>
  </dgm:ptLst>
  <dgm:cxnLst>
    <dgm:cxn modelId="{B5A46281-2B25-4E69-972A-7A35A96000D2}" type="presOf" srcId="{F7C588D8-F7DA-2B4C-B081-928DC09BD6F4}" destId="{A765A813-EB8B-C741-9B38-B57E1272CA25}" srcOrd="0" destOrd="0" presId="urn:microsoft.com/office/officeart/2005/8/layout/cycle3"/>
    <dgm:cxn modelId="{1741CC55-916E-1243-95B5-31CACBD8C8D2}" srcId="{F5A01BC8-D354-2947-99B1-F8E930A34ABD}" destId="{F7C588D8-F7DA-2B4C-B081-928DC09BD6F4}" srcOrd="1" destOrd="0" parTransId="{7CDD8768-1E78-4440-9D35-87F526CA73AE}" sibTransId="{334A0F35-DFB7-884F-A8A5-E3E3F7937A1E}"/>
    <dgm:cxn modelId="{F87D94CB-D01D-4389-A362-6A65DDB349C1}" type="presOf" srcId="{E0B233E7-76AC-D349-8ECF-B5313B8C8FF7}" destId="{7AD9116F-F1EA-9A48-B11A-78CFC7E515BD}" srcOrd="0" destOrd="0" presId="urn:microsoft.com/office/officeart/2005/8/layout/cycle3"/>
    <dgm:cxn modelId="{BF0AB28A-F5D6-45AD-9A6E-0C8D4F9FE670}" type="presOf" srcId="{F5A01BC8-D354-2947-99B1-F8E930A34ABD}" destId="{1827FF3E-BBF7-5242-BE33-380C1C284529}" srcOrd="0" destOrd="0" presId="urn:microsoft.com/office/officeart/2005/8/layout/cycle3"/>
    <dgm:cxn modelId="{22495E10-75BF-4226-B2EE-BE6EB1E3B67C}" type="presOf" srcId="{EA61F117-1C39-2640-87AE-439D526656A5}" destId="{A36DFE74-75A3-4F45-AFAE-FEE140692112}" srcOrd="0" destOrd="0" presId="urn:microsoft.com/office/officeart/2005/8/layout/cycle3"/>
    <dgm:cxn modelId="{4E714750-2B80-4B5E-96C3-4DBB83A184D6}" type="presOf" srcId="{E084BAB7-9143-354E-B817-4667462D040A}" destId="{3F7CE8CE-46EF-CC44-B2C3-5B76F02B8F3E}" srcOrd="0" destOrd="0" presId="urn:microsoft.com/office/officeart/2005/8/layout/cycle3"/>
    <dgm:cxn modelId="{A1C5695A-CFB8-4702-BF06-1068E0DCACEB}" type="presOf" srcId="{595ADB62-8B02-4248-B327-7389B027A5E6}" destId="{761560A2-1F84-E144-9F40-2BC95FF13A1B}" srcOrd="0" destOrd="0" presId="urn:microsoft.com/office/officeart/2005/8/layout/cycle3"/>
    <dgm:cxn modelId="{B787F7C5-7B3E-1E44-8090-336C5F46E308}" srcId="{F5A01BC8-D354-2947-99B1-F8E930A34ABD}" destId="{52003FC8-3024-4641-A651-8A2BA09AEFBC}" srcOrd="4" destOrd="0" parTransId="{B7A3069B-5894-B341-A0D6-539C3384F2A1}" sibTransId="{B6D497CB-ADED-FE4E-8BC9-72817569F29A}"/>
    <dgm:cxn modelId="{51AD9293-F5E3-BB4B-A6F5-3B16A8A5935E}" srcId="{F5A01BC8-D354-2947-99B1-F8E930A34ABD}" destId="{595ADB62-8B02-4248-B327-7389B027A5E6}" srcOrd="0" destOrd="0" parTransId="{39951E17-420D-8448-9536-450DBB3B195A}" sibTransId="{E084BAB7-9143-354E-B817-4667462D040A}"/>
    <dgm:cxn modelId="{85297787-0C5B-AC42-BEA8-F32687DD89E7}" srcId="{F5A01BC8-D354-2947-99B1-F8E930A34ABD}" destId="{E0B233E7-76AC-D349-8ECF-B5313B8C8FF7}" srcOrd="2" destOrd="0" parTransId="{0C2EBD3A-322A-0240-800C-F8B576DC01DE}" sibTransId="{CD9EC4D9-2BF5-BB47-A939-C2BA5A71A7AF}"/>
    <dgm:cxn modelId="{3939448E-6498-CC4E-AC65-9A06DB064808}" srcId="{F5A01BC8-D354-2947-99B1-F8E930A34ABD}" destId="{EA61F117-1C39-2640-87AE-439D526656A5}" srcOrd="3" destOrd="0" parTransId="{B59EDBB5-62EE-2B4E-9D51-1E8D87BB8D81}" sibTransId="{2B125008-F716-CF44-9FB5-E7A00A79E1B7}"/>
    <dgm:cxn modelId="{7046AFB9-1C68-4E38-88F6-9ECF8B3F6F09}" type="presOf" srcId="{52003FC8-3024-4641-A651-8A2BA09AEFBC}" destId="{6CDCAD7C-42FD-754A-9F89-BCF2547A12F3}" srcOrd="0" destOrd="0" presId="urn:microsoft.com/office/officeart/2005/8/layout/cycle3"/>
    <dgm:cxn modelId="{7AEB331C-076A-4D94-B60D-F1D3C246F5AD}" type="presParOf" srcId="{1827FF3E-BBF7-5242-BE33-380C1C284529}" destId="{67618443-D448-314C-9A54-6468F2269125}" srcOrd="0" destOrd="0" presId="urn:microsoft.com/office/officeart/2005/8/layout/cycle3"/>
    <dgm:cxn modelId="{7F409FD0-F62A-4945-9ADC-D1D836C6D81A}" type="presParOf" srcId="{67618443-D448-314C-9A54-6468F2269125}" destId="{761560A2-1F84-E144-9F40-2BC95FF13A1B}" srcOrd="0" destOrd="0" presId="urn:microsoft.com/office/officeart/2005/8/layout/cycle3"/>
    <dgm:cxn modelId="{3585F138-F309-4FC7-A159-6E144711BCAE}" type="presParOf" srcId="{67618443-D448-314C-9A54-6468F2269125}" destId="{3F7CE8CE-46EF-CC44-B2C3-5B76F02B8F3E}" srcOrd="1" destOrd="0" presId="urn:microsoft.com/office/officeart/2005/8/layout/cycle3"/>
    <dgm:cxn modelId="{59993305-872B-41F6-AD06-2BE592FF3ADC}" type="presParOf" srcId="{67618443-D448-314C-9A54-6468F2269125}" destId="{A765A813-EB8B-C741-9B38-B57E1272CA25}" srcOrd="2" destOrd="0" presId="urn:microsoft.com/office/officeart/2005/8/layout/cycle3"/>
    <dgm:cxn modelId="{2FA24190-188A-4405-BA17-D1F5AB8B9236}" type="presParOf" srcId="{67618443-D448-314C-9A54-6468F2269125}" destId="{7AD9116F-F1EA-9A48-B11A-78CFC7E515BD}" srcOrd="3" destOrd="0" presId="urn:microsoft.com/office/officeart/2005/8/layout/cycle3"/>
    <dgm:cxn modelId="{3802E39B-93D3-4BE5-9D08-E16F50F14B60}" type="presParOf" srcId="{67618443-D448-314C-9A54-6468F2269125}" destId="{A36DFE74-75A3-4F45-AFAE-FEE140692112}" srcOrd="4" destOrd="0" presId="urn:microsoft.com/office/officeart/2005/8/layout/cycle3"/>
    <dgm:cxn modelId="{1D940F23-AE99-4636-AB0B-120FD384ED6E}" type="presParOf" srcId="{67618443-D448-314C-9A54-6468F2269125}" destId="{6CDCAD7C-42FD-754A-9F89-BCF2547A12F3}" srcOrd="5" destOrd="0" presId="urn:microsoft.com/office/officeart/2005/8/layout/cycle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4ED4885-B64B-A242-B177-70399C715351}" type="doc">
      <dgm:prSet loTypeId="urn:microsoft.com/office/officeart/2005/8/layout/cycle5" loCatId="" qsTypeId="urn:microsoft.com/office/officeart/2005/8/quickstyle/simple4" qsCatId="simple" csTypeId="urn:microsoft.com/office/officeart/2005/8/colors/accent6_2" csCatId="accent6" phldr="1"/>
      <dgm:spPr/>
      <dgm:t>
        <a:bodyPr/>
        <a:lstStyle/>
        <a:p>
          <a:endParaRPr lang="es-ES"/>
        </a:p>
      </dgm:t>
    </dgm:pt>
    <dgm:pt modelId="{8EF31AB6-1992-6F42-A584-91B4549E8300}">
      <dgm:prSet phldrT="[Texto]"/>
      <dgm:spPr>
        <a:xfrm>
          <a:off x="1956362" y="1094"/>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Administración pública eficiente</a:t>
          </a:r>
        </a:p>
      </dgm:t>
    </dgm:pt>
    <dgm:pt modelId="{F120026C-FC08-A24B-8D64-32FA15C75987}" type="parTrans" cxnId="{4F891DEF-EBCD-9148-BC24-99DF77536481}">
      <dgm:prSet/>
      <dgm:spPr/>
      <dgm:t>
        <a:bodyPr/>
        <a:lstStyle/>
        <a:p>
          <a:endParaRPr lang="es-ES"/>
        </a:p>
      </dgm:t>
    </dgm:pt>
    <dgm:pt modelId="{E6658508-05CE-9646-8884-1CE550AFAA9D}" type="sibTrans" cxnId="{4F891DEF-EBCD-9148-BC24-99DF77536481}">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CE4E1798-1F1C-DD43-9059-242E5B52660C}">
      <dgm:prSet phldrT="[Texto]"/>
      <dgm:spPr>
        <a:xfrm>
          <a:off x="2910150" y="954881"/>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Simplificación administrativa</a:t>
          </a:r>
        </a:p>
      </dgm:t>
    </dgm:pt>
    <dgm:pt modelId="{865FCE11-2DC9-FF46-826E-3DAB69EEB0D7}" type="parTrans" cxnId="{D1CA2DDD-CC69-3941-841D-28D18A25517B}">
      <dgm:prSet/>
      <dgm:spPr/>
      <dgm:t>
        <a:bodyPr/>
        <a:lstStyle/>
        <a:p>
          <a:endParaRPr lang="es-ES"/>
        </a:p>
      </dgm:t>
    </dgm:pt>
    <dgm:pt modelId="{63573849-5551-9644-A9BB-2B7C45B3829B}" type="sibTrans" cxnId="{D1CA2DDD-CC69-3941-841D-28D18A25517B}">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E06383E9-F9FA-E34B-B8E0-C9EBE9EABD5E}">
      <dgm:prSet phldrT="[Texto]"/>
      <dgm:spPr>
        <a:xfrm>
          <a:off x="1956362" y="1908669"/>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Atención ciudadana</a:t>
          </a:r>
        </a:p>
      </dgm:t>
    </dgm:pt>
    <dgm:pt modelId="{23D6B4B6-37D8-D14C-AE05-3CB8E597B836}" type="parTrans" cxnId="{588E9276-1440-574E-A87B-656C1B57ED69}">
      <dgm:prSet/>
      <dgm:spPr/>
      <dgm:t>
        <a:bodyPr/>
        <a:lstStyle/>
        <a:p>
          <a:endParaRPr lang="es-ES"/>
        </a:p>
      </dgm:t>
    </dgm:pt>
    <dgm:pt modelId="{1A3C9B92-0796-824C-A428-AA3815E6B076}" type="sibTrans" cxnId="{588E9276-1440-574E-A87B-656C1B57ED69}">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621BBA61-4067-7141-AA8D-A49240E10419}">
      <dgm:prSet phldrT="[Texto]"/>
      <dgm:spPr>
        <a:xfrm>
          <a:off x="1002574" y="954881"/>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Gobierno digital</a:t>
          </a:r>
        </a:p>
      </dgm:t>
    </dgm:pt>
    <dgm:pt modelId="{1CC8D7F9-0FF0-2943-9548-22964435FF32}" type="parTrans" cxnId="{B7C45F68-79AE-D247-A309-E79213CAF49C}">
      <dgm:prSet/>
      <dgm:spPr/>
      <dgm:t>
        <a:bodyPr/>
        <a:lstStyle/>
        <a:p>
          <a:endParaRPr lang="es-ES"/>
        </a:p>
      </dgm:t>
    </dgm:pt>
    <dgm:pt modelId="{605F4F32-4FEF-CA49-B44C-E32E233BD961}" type="sibTrans" cxnId="{B7C45F68-79AE-D247-A309-E79213CAF49C}">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A3547307-FD57-204A-A31B-CD296A7C29FE}" type="pres">
      <dgm:prSet presAssocID="{34ED4885-B64B-A242-B177-70399C715351}" presName="cycle" presStyleCnt="0">
        <dgm:presLayoutVars>
          <dgm:dir/>
          <dgm:resizeHandles val="exact"/>
        </dgm:presLayoutVars>
      </dgm:prSet>
      <dgm:spPr/>
      <dgm:t>
        <a:bodyPr/>
        <a:lstStyle/>
        <a:p>
          <a:endParaRPr lang="es-ES"/>
        </a:p>
      </dgm:t>
    </dgm:pt>
    <dgm:pt modelId="{C5F12BAC-4104-0545-9A9F-32C8D7CCF5DE}" type="pres">
      <dgm:prSet presAssocID="{8EF31AB6-1992-6F42-A584-91B4549E8300}" presName="node" presStyleLbl="node1" presStyleIdx="0" presStyleCnt="4">
        <dgm:presLayoutVars>
          <dgm:bulletEnabled val="1"/>
        </dgm:presLayoutVars>
      </dgm:prSet>
      <dgm:spPr>
        <a:prstGeom prst="roundRect">
          <a:avLst/>
        </a:prstGeom>
      </dgm:spPr>
      <dgm:t>
        <a:bodyPr/>
        <a:lstStyle/>
        <a:p>
          <a:endParaRPr lang="es-ES"/>
        </a:p>
      </dgm:t>
    </dgm:pt>
    <dgm:pt modelId="{4FAA6EBF-B4A8-E247-BA42-A5E3777C146D}" type="pres">
      <dgm:prSet presAssocID="{8EF31AB6-1992-6F42-A584-91B4549E8300}" presName="spNode" presStyleCnt="0"/>
      <dgm:spPr/>
      <dgm:t>
        <a:bodyPr/>
        <a:lstStyle/>
        <a:p>
          <a:endParaRPr lang="es-ES"/>
        </a:p>
      </dgm:t>
    </dgm:pt>
    <dgm:pt modelId="{FFD2F1B7-C1C7-DF45-A274-5EECF4C1481A}" type="pres">
      <dgm:prSet presAssocID="{E6658508-05CE-9646-8884-1CE550AFAA9D}" presName="sibTrans" presStyleLbl="sibTrans1D1" presStyleIdx="0" presStyleCnt="4"/>
      <dgm:spPr>
        <a:custGeom>
          <a:avLst/>
          <a:gdLst/>
          <a:ahLst/>
          <a:cxnLst/>
          <a:rect l="0" t="0" r="0" b="0"/>
          <a:pathLst>
            <a:path>
              <a:moveTo>
                <a:pt x="1520588" y="186684"/>
              </a:moveTo>
              <a:arcTo wR="953787" hR="953787" stAng="18387609" swAng="1633027"/>
            </a:path>
          </a:pathLst>
        </a:custGeom>
      </dgm:spPr>
      <dgm:t>
        <a:bodyPr/>
        <a:lstStyle/>
        <a:p>
          <a:endParaRPr lang="es-ES"/>
        </a:p>
      </dgm:t>
    </dgm:pt>
    <dgm:pt modelId="{0C14005F-87E2-8042-9619-0FDBEEC0029F}" type="pres">
      <dgm:prSet presAssocID="{CE4E1798-1F1C-DD43-9059-242E5B52660C}" presName="node" presStyleLbl="node1" presStyleIdx="1" presStyleCnt="4">
        <dgm:presLayoutVars>
          <dgm:bulletEnabled val="1"/>
        </dgm:presLayoutVars>
      </dgm:prSet>
      <dgm:spPr>
        <a:prstGeom prst="roundRect">
          <a:avLst/>
        </a:prstGeom>
      </dgm:spPr>
      <dgm:t>
        <a:bodyPr/>
        <a:lstStyle/>
        <a:p>
          <a:endParaRPr lang="es-ES"/>
        </a:p>
      </dgm:t>
    </dgm:pt>
    <dgm:pt modelId="{CDF63E55-39CC-6349-A421-6E50664AEDF9}" type="pres">
      <dgm:prSet presAssocID="{CE4E1798-1F1C-DD43-9059-242E5B52660C}" presName="spNode" presStyleCnt="0"/>
      <dgm:spPr/>
      <dgm:t>
        <a:bodyPr/>
        <a:lstStyle/>
        <a:p>
          <a:endParaRPr lang="es-ES"/>
        </a:p>
      </dgm:t>
    </dgm:pt>
    <dgm:pt modelId="{4CF45A00-3F7D-2040-8E8E-9A6EDAFEAC69}" type="pres">
      <dgm:prSet presAssocID="{63573849-5551-9644-A9BB-2B7C45B3829B}" presName="sibTrans" presStyleLbl="sibTrans1D1" presStyleIdx="1" presStyleCnt="4"/>
      <dgm:spPr>
        <a:custGeom>
          <a:avLst/>
          <a:gdLst/>
          <a:ahLst/>
          <a:cxnLst/>
          <a:rect l="0" t="0" r="0" b="0"/>
          <a:pathLst>
            <a:path>
              <a:moveTo>
                <a:pt x="1808677" y="1376722"/>
              </a:moveTo>
              <a:arcTo wR="953787" hR="953787" stAng="1579363" swAng="1633027"/>
            </a:path>
          </a:pathLst>
        </a:custGeom>
      </dgm:spPr>
      <dgm:t>
        <a:bodyPr/>
        <a:lstStyle/>
        <a:p>
          <a:endParaRPr lang="es-ES"/>
        </a:p>
      </dgm:t>
    </dgm:pt>
    <dgm:pt modelId="{73A7F45E-6D8C-0147-89A4-F27F71D2821F}" type="pres">
      <dgm:prSet presAssocID="{E06383E9-F9FA-E34B-B8E0-C9EBE9EABD5E}" presName="node" presStyleLbl="node1" presStyleIdx="2" presStyleCnt="4">
        <dgm:presLayoutVars>
          <dgm:bulletEnabled val="1"/>
        </dgm:presLayoutVars>
      </dgm:prSet>
      <dgm:spPr>
        <a:prstGeom prst="roundRect">
          <a:avLst/>
        </a:prstGeom>
      </dgm:spPr>
      <dgm:t>
        <a:bodyPr/>
        <a:lstStyle/>
        <a:p>
          <a:endParaRPr lang="es-ES"/>
        </a:p>
      </dgm:t>
    </dgm:pt>
    <dgm:pt modelId="{AD41399F-0996-BC48-8534-54DB002FE552}" type="pres">
      <dgm:prSet presAssocID="{E06383E9-F9FA-E34B-B8E0-C9EBE9EABD5E}" presName="spNode" presStyleCnt="0"/>
      <dgm:spPr/>
      <dgm:t>
        <a:bodyPr/>
        <a:lstStyle/>
        <a:p>
          <a:endParaRPr lang="es-ES"/>
        </a:p>
      </dgm:t>
    </dgm:pt>
    <dgm:pt modelId="{6C85DF02-B4D1-8444-B844-FF473667689C}" type="pres">
      <dgm:prSet presAssocID="{1A3C9B92-0796-824C-A428-AA3815E6B076}" presName="sibTrans" presStyleLbl="sibTrans1D1" presStyleIdx="2" presStyleCnt="4"/>
      <dgm:spPr>
        <a:custGeom>
          <a:avLst/>
          <a:gdLst/>
          <a:ahLst/>
          <a:cxnLst/>
          <a:rect l="0" t="0" r="0" b="0"/>
          <a:pathLst>
            <a:path>
              <a:moveTo>
                <a:pt x="386986" y="1720890"/>
              </a:moveTo>
              <a:arcTo wR="953787" hR="953787" stAng="7587609" swAng="1633027"/>
            </a:path>
          </a:pathLst>
        </a:custGeom>
      </dgm:spPr>
      <dgm:t>
        <a:bodyPr/>
        <a:lstStyle/>
        <a:p>
          <a:endParaRPr lang="es-ES"/>
        </a:p>
      </dgm:t>
    </dgm:pt>
    <dgm:pt modelId="{3A034DA7-D999-604F-9124-66BD09B93CF5}" type="pres">
      <dgm:prSet presAssocID="{621BBA61-4067-7141-AA8D-A49240E10419}" presName="node" presStyleLbl="node1" presStyleIdx="3" presStyleCnt="4">
        <dgm:presLayoutVars>
          <dgm:bulletEnabled val="1"/>
        </dgm:presLayoutVars>
      </dgm:prSet>
      <dgm:spPr>
        <a:prstGeom prst="roundRect">
          <a:avLst/>
        </a:prstGeom>
      </dgm:spPr>
      <dgm:t>
        <a:bodyPr/>
        <a:lstStyle/>
        <a:p>
          <a:endParaRPr lang="es-ES"/>
        </a:p>
      </dgm:t>
    </dgm:pt>
    <dgm:pt modelId="{50844A31-096F-5C47-A5B3-9824FBB7B840}" type="pres">
      <dgm:prSet presAssocID="{621BBA61-4067-7141-AA8D-A49240E10419}" presName="spNode" presStyleCnt="0"/>
      <dgm:spPr/>
      <dgm:t>
        <a:bodyPr/>
        <a:lstStyle/>
        <a:p>
          <a:endParaRPr lang="es-ES"/>
        </a:p>
      </dgm:t>
    </dgm:pt>
    <dgm:pt modelId="{91DFE6CD-0A76-3E46-8CD3-8E36347793B2}" type="pres">
      <dgm:prSet presAssocID="{605F4F32-4FEF-CA49-B44C-E32E233BD961}" presName="sibTrans" presStyleLbl="sibTrans1D1" presStyleIdx="3" presStyleCnt="4"/>
      <dgm:spPr>
        <a:custGeom>
          <a:avLst/>
          <a:gdLst/>
          <a:ahLst/>
          <a:cxnLst/>
          <a:rect l="0" t="0" r="0" b="0"/>
          <a:pathLst>
            <a:path>
              <a:moveTo>
                <a:pt x="98897" y="530852"/>
              </a:moveTo>
              <a:arcTo wR="953787" hR="953787" stAng="12379363" swAng="1633027"/>
            </a:path>
          </a:pathLst>
        </a:custGeom>
      </dgm:spPr>
      <dgm:t>
        <a:bodyPr/>
        <a:lstStyle/>
        <a:p>
          <a:endParaRPr lang="es-ES"/>
        </a:p>
      </dgm:t>
    </dgm:pt>
  </dgm:ptLst>
  <dgm:cxnLst>
    <dgm:cxn modelId="{2937B884-CB87-4CC5-9BCF-0482F0937DEE}" type="presOf" srcId="{1A3C9B92-0796-824C-A428-AA3815E6B076}" destId="{6C85DF02-B4D1-8444-B844-FF473667689C}" srcOrd="0" destOrd="0" presId="urn:microsoft.com/office/officeart/2005/8/layout/cycle5"/>
    <dgm:cxn modelId="{B7C45F68-79AE-D247-A309-E79213CAF49C}" srcId="{34ED4885-B64B-A242-B177-70399C715351}" destId="{621BBA61-4067-7141-AA8D-A49240E10419}" srcOrd="3" destOrd="0" parTransId="{1CC8D7F9-0FF0-2943-9548-22964435FF32}" sibTransId="{605F4F32-4FEF-CA49-B44C-E32E233BD961}"/>
    <dgm:cxn modelId="{D1838C67-240B-4D3C-B84F-2699EE94F896}" type="presOf" srcId="{CE4E1798-1F1C-DD43-9059-242E5B52660C}" destId="{0C14005F-87E2-8042-9619-0FDBEEC0029F}" srcOrd="0" destOrd="0" presId="urn:microsoft.com/office/officeart/2005/8/layout/cycle5"/>
    <dgm:cxn modelId="{4F891DEF-EBCD-9148-BC24-99DF77536481}" srcId="{34ED4885-B64B-A242-B177-70399C715351}" destId="{8EF31AB6-1992-6F42-A584-91B4549E8300}" srcOrd="0" destOrd="0" parTransId="{F120026C-FC08-A24B-8D64-32FA15C75987}" sibTransId="{E6658508-05CE-9646-8884-1CE550AFAA9D}"/>
    <dgm:cxn modelId="{25B4C59A-3F20-46C9-B8BA-04A4DD021B6E}" type="presOf" srcId="{E6658508-05CE-9646-8884-1CE550AFAA9D}" destId="{FFD2F1B7-C1C7-DF45-A274-5EECF4C1481A}" srcOrd="0" destOrd="0" presId="urn:microsoft.com/office/officeart/2005/8/layout/cycle5"/>
    <dgm:cxn modelId="{D74C818E-A2ED-403C-8138-C0DDC7F21678}" type="presOf" srcId="{63573849-5551-9644-A9BB-2B7C45B3829B}" destId="{4CF45A00-3F7D-2040-8E8E-9A6EDAFEAC69}" srcOrd="0" destOrd="0" presId="urn:microsoft.com/office/officeart/2005/8/layout/cycle5"/>
    <dgm:cxn modelId="{AF99266D-DB76-4BBD-9E40-388226219109}" type="presOf" srcId="{605F4F32-4FEF-CA49-B44C-E32E233BD961}" destId="{91DFE6CD-0A76-3E46-8CD3-8E36347793B2}" srcOrd="0" destOrd="0" presId="urn:microsoft.com/office/officeart/2005/8/layout/cycle5"/>
    <dgm:cxn modelId="{588E9276-1440-574E-A87B-656C1B57ED69}" srcId="{34ED4885-B64B-A242-B177-70399C715351}" destId="{E06383E9-F9FA-E34B-B8E0-C9EBE9EABD5E}" srcOrd="2" destOrd="0" parTransId="{23D6B4B6-37D8-D14C-AE05-3CB8E597B836}" sibTransId="{1A3C9B92-0796-824C-A428-AA3815E6B076}"/>
    <dgm:cxn modelId="{48C56E57-2466-4A87-AC61-7BDE4295C9E4}" type="presOf" srcId="{34ED4885-B64B-A242-B177-70399C715351}" destId="{A3547307-FD57-204A-A31B-CD296A7C29FE}" srcOrd="0" destOrd="0" presId="urn:microsoft.com/office/officeart/2005/8/layout/cycle5"/>
    <dgm:cxn modelId="{C25288F3-E4EB-4682-BF72-825750399DD3}" type="presOf" srcId="{E06383E9-F9FA-E34B-B8E0-C9EBE9EABD5E}" destId="{73A7F45E-6D8C-0147-89A4-F27F71D2821F}" srcOrd="0" destOrd="0" presId="urn:microsoft.com/office/officeart/2005/8/layout/cycle5"/>
    <dgm:cxn modelId="{608DE3E1-8574-4286-8226-D0A9F9292EA7}" type="presOf" srcId="{621BBA61-4067-7141-AA8D-A49240E10419}" destId="{3A034DA7-D999-604F-9124-66BD09B93CF5}" srcOrd="0" destOrd="0" presId="urn:microsoft.com/office/officeart/2005/8/layout/cycle5"/>
    <dgm:cxn modelId="{DB4C4375-7AED-4073-83FA-4AC7FA88E22B}" type="presOf" srcId="{8EF31AB6-1992-6F42-A584-91B4549E8300}" destId="{C5F12BAC-4104-0545-9A9F-32C8D7CCF5DE}" srcOrd="0" destOrd="0" presId="urn:microsoft.com/office/officeart/2005/8/layout/cycle5"/>
    <dgm:cxn modelId="{D1CA2DDD-CC69-3941-841D-28D18A25517B}" srcId="{34ED4885-B64B-A242-B177-70399C715351}" destId="{CE4E1798-1F1C-DD43-9059-242E5B52660C}" srcOrd="1" destOrd="0" parTransId="{865FCE11-2DC9-FF46-826E-3DAB69EEB0D7}" sibTransId="{63573849-5551-9644-A9BB-2B7C45B3829B}"/>
    <dgm:cxn modelId="{0EA39F68-C0B8-474A-8B63-AD9F8061A446}" type="presParOf" srcId="{A3547307-FD57-204A-A31B-CD296A7C29FE}" destId="{C5F12BAC-4104-0545-9A9F-32C8D7CCF5DE}" srcOrd="0" destOrd="0" presId="urn:microsoft.com/office/officeart/2005/8/layout/cycle5"/>
    <dgm:cxn modelId="{FF0064D2-0CF0-4FF2-A1BD-7A813A8EDA8F}" type="presParOf" srcId="{A3547307-FD57-204A-A31B-CD296A7C29FE}" destId="{4FAA6EBF-B4A8-E247-BA42-A5E3777C146D}" srcOrd="1" destOrd="0" presId="urn:microsoft.com/office/officeart/2005/8/layout/cycle5"/>
    <dgm:cxn modelId="{986979DA-5FDE-45C7-BDF3-1F1023670847}" type="presParOf" srcId="{A3547307-FD57-204A-A31B-CD296A7C29FE}" destId="{FFD2F1B7-C1C7-DF45-A274-5EECF4C1481A}" srcOrd="2" destOrd="0" presId="urn:microsoft.com/office/officeart/2005/8/layout/cycle5"/>
    <dgm:cxn modelId="{532DF595-168B-434C-AADF-CA9FD62CC59F}" type="presParOf" srcId="{A3547307-FD57-204A-A31B-CD296A7C29FE}" destId="{0C14005F-87E2-8042-9619-0FDBEEC0029F}" srcOrd="3" destOrd="0" presId="urn:microsoft.com/office/officeart/2005/8/layout/cycle5"/>
    <dgm:cxn modelId="{BB0E85DD-4484-4F22-A6E8-4E1CD8FE661E}" type="presParOf" srcId="{A3547307-FD57-204A-A31B-CD296A7C29FE}" destId="{CDF63E55-39CC-6349-A421-6E50664AEDF9}" srcOrd="4" destOrd="0" presId="urn:microsoft.com/office/officeart/2005/8/layout/cycle5"/>
    <dgm:cxn modelId="{69584E64-E9B2-47B6-A528-9E38BEEAD242}" type="presParOf" srcId="{A3547307-FD57-204A-A31B-CD296A7C29FE}" destId="{4CF45A00-3F7D-2040-8E8E-9A6EDAFEAC69}" srcOrd="5" destOrd="0" presId="urn:microsoft.com/office/officeart/2005/8/layout/cycle5"/>
    <dgm:cxn modelId="{6BE81002-E19C-4906-9534-536629179694}" type="presParOf" srcId="{A3547307-FD57-204A-A31B-CD296A7C29FE}" destId="{73A7F45E-6D8C-0147-89A4-F27F71D2821F}" srcOrd="6" destOrd="0" presId="urn:microsoft.com/office/officeart/2005/8/layout/cycle5"/>
    <dgm:cxn modelId="{9E250DB3-E9DD-4005-A729-13E260A2CA28}" type="presParOf" srcId="{A3547307-FD57-204A-A31B-CD296A7C29FE}" destId="{AD41399F-0996-BC48-8534-54DB002FE552}" srcOrd="7" destOrd="0" presId="urn:microsoft.com/office/officeart/2005/8/layout/cycle5"/>
    <dgm:cxn modelId="{994E1F9D-0034-4CE9-B112-DF9F43FD0230}" type="presParOf" srcId="{A3547307-FD57-204A-A31B-CD296A7C29FE}" destId="{6C85DF02-B4D1-8444-B844-FF473667689C}" srcOrd="8" destOrd="0" presId="urn:microsoft.com/office/officeart/2005/8/layout/cycle5"/>
    <dgm:cxn modelId="{DC5F751D-3F6E-4EB5-8BE2-1D7714C3D331}" type="presParOf" srcId="{A3547307-FD57-204A-A31B-CD296A7C29FE}" destId="{3A034DA7-D999-604F-9124-66BD09B93CF5}" srcOrd="9" destOrd="0" presId="urn:microsoft.com/office/officeart/2005/8/layout/cycle5"/>
    <dgm:cxn modelId="{A5C273A5-DF71-41B1-8673-CB396587EA54}" type="presParOf" srcId="{A3547307-FD57-204A-A31B-CD296A7C29FE}" destId="{50844A31-096F-5C47-A5B3-9824FBB7B840}" srcOrd="10" destOrd="0" presId="urn:microsoft.com/office/officeart/2005/8/layout/cycle5"/>
    <dgm:cxn modelId="{5F05856D-6806-44D4-B989-516E0F018D71}" type="presParOf" srcId="{A3547307-FD57-204A-A31B-CD296A7C29FE}" destId="{91DFE6CD-0A76-3E46-8CD3-8E36347793B2}" srcOrd="11" destOrd="0" presId="urn:microsoft.com/office/officeart/2005/8/layout/cycle5"/>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0EF5E2D-E05A-3941-A430-1936FA578F8F}" type="doc">
      <dgm:prSet loTypeId="urn:microsoft.com/office/officeart/2005/8/layout/cycle5" loCatId="" qsTypeId="urn:microsoft.com/office/officeart/2005/8/quickstyle/simple5" qsCatId="simple" csTypeId="urn:microsoft.com/office/officeart/2005/8/colors/accent2_2" csCatId="accent2" phldr="1"/>
      <dgm:spPr/>
      <dgm:t>
        <a:bodyPr/>
        <a:lstStyle/>
        <a:p>
          <a:endParaRPr lang="es-ES"/>
        </a:p>
      </dgm:t>
    </dgm:pt>
    <dgm:pt modelId="{9CCF8528-4364-3D4B-AEBE-495C61B5EDF9}">
      <dgm:prSet phldrT="[Texto]"/>
      <dgm:spPr>
        <a:xfrm>
          <a:off x="1495276" y="682"/>
          <a:ext cx="895647" cy="582170"/>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ES">
              <a:solidFill>
                <a:sysClr val="window" lastClr="FFFFFF"/>
              </a:solidFill>
              <a:latin typeface="Cambria"/>
              <a:ea typeface="+mn-ea"/>
              <a:cs typeface="+mn-cs"/>
            </a:rPr>
            <a:t>Participación Ciudadana</a:t>
          </a:r>
        </a:p>
      </dgm:t>
    </dgm:pt>
    <dgm:pt modelId="{F5533C8A-1F37-F948-AF59-EA0E3C6CD706}" type="parTrans" cxnId="{091D2C1E-914E-D248-B434-8F4BA4BEDFDF}">
      <dgm:prSet/>
      <dgm:spPr/>
      <dgm:t>
        <a:bodyPr/>
        <a:lstStyle/>
        <a:p>
          <a:endParaRPr lang="es-ES"/>
        </a:p>
      </dgm:t>
    </dgm:pt>
    <dgm:pt modelId="{10E9A8E4-37DC-3F4E-AF27-7F868368510A}" type="sibTrans" cxnId="{091D2C1E-914E-D248-B434-8F4BA4BEDFDF}">
      <dgm:prSet/>
      <dgm:spPr>
        <a:xfrm>
          <a:off x="1166116" y="291768"/>
          <a:ext cx="1553966" cy="1553966"/>
        </a:xfrm>
        <a:noFill/>
        <a:ln w="9525" cap="flat" cmpd="sng" algn="ctr">
          <a:solidFill>
            <a:srgbClr val="C0504D">
              <a:hueOff val="0"/>
              <a:satOff val="0"/>
              <a:lumOff val="0"/>
              <a:alphaOff val="0"/>
            </a:srgbClr>
          </a:solidFill>
          <a:prstDash val="solid"/>
          <a:tailEnd type="arrow"/>
        </a:ln>
        <a:effectLst/>
      </dgm:spPr>
      <dgm:t>
        <a:bodyPr/>
        <a:lstStyle/>
        <a:p>
          <a:endParaRPr lang="es-ES"/>
        </a:p>
      </dgm:t>
    </dgm:pt>
    <dgm:pt modelId="{85F9FA88-B0BC-2449-9A8B-9C1B42997ACF}">
      <dgm:prSet phldrT="[Texto]"/>
      <dgm:spPr>
        <a:xfrm>
          <a:off x="2168163" y="1166157"/>
          <a:ext cx="895647" cy="582170"/>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ES">
              <a:solidFill>
                <a:sysClr val="window" lastClr="FFFFFF"/>
              </a:solidFill>
              <a:latin typeface="Cambria"/>
              <a:ea typeface="+mn-ea"/>
              <a:cs typeface="+mn-cs"/>
            </a:rPr>
            <a:t>Transparencia</a:t>
          </a:r>
        </a:p>
      </dgm:t>
    </dgm:pt>
    <dgm:pt modelId="{FDFE84E7-B99E-E141-A671-421821B6A4E8}" type="parTrans" cxnId="{654109D3-C298-5D40-9C70-80B341E3F02A}">
      <dgm:prSet/>
      <dgm:spPr/>
      <dgm:t>
        <a:bodyPr/>
        <a:lstStyle/>
        <a:p>
          <a:endParaRPr lang="es-ES"/>
        </a:p>
      </dgm:t>
    </dgm:pt>
    <dgm:pt modelId="{510E4116-CAE5-D144-818C-ECBE55731CE6}" type="sibTrans" cxnId="{654109D3-C298-5D40-9C70-80B341E3F02A}">
      <dgm:prSet/>
      <dgm:spPr>
        <a:xfrm>
          <a:off x="1166116" y="291768"/>
          <a:ext cx="1553966" cy="1553966"/>
        </a:xfrm>
        <a:noFill/>
        <a:ln w="9525" cap="flat" cmpd="sng" algn="ctr">
          <a:solidFill>
            <a:srgbClr val="C0504D">
              <a:hueOff val="0"/>
              <a:satOff val="0"/>
              <a:lumOff val="0"/>
              <a:alphaOff val="0"/>
            </a:srgbClr>
          </a:solidFill>
          <a:prstDash val="solid"/>
          <a:tailEnd type="arrow"/>
        </a:ln>
        <a:effectLst/>
      </dgm:spPr>
      <dgm:t>
        <a:bodyPr/>
        <a:lstStyle/>
        <a:p>
          <a:endParaRPr lang="es-ES"/>
        </a:p>
      </dgm:t>
    </dgm:pt>
    <dgm:pt modelId="{B9C99573-3C63-514A-82CC-66FE6EF6FBA9}">
      <dgm:prSet phldrT="[Texto]"/>
      <dgm:spPr>
        <a:xfrm>
          <a:off x="822388" y="1166157"/>
          <a:ext cx="895647" cy="582170"/>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ES">
              <a:solidFill>
                <a:sysClr val="window" lastClr="FFFFFF"/>
              </a:solidFill>
              <a:latin typeface="Cambria"/>
              <a:ea typeface="+mn-ea"/>
              <a:cs typeface="+mn-cs"/>
            </a:rPr>
            <a:t>Rendición de cuentas</a:t>
          </a:r>
        </a:p>
      </dgm:t>
    </dgm:pt>
    <dgm:pt modelId="{83B69170-4E2C-7847-BDE3-882BA70569FC}" type="parTrans" cxnId="{8A573D0B-6C92-EC4A-A30D-7240453BA6CB}">
      <dgm:prSet/>
      <dgm:spPr/>
      <dgm:t>
        <a:bodyPr/>
        <a:lstStyle/>
        <a:p>
          <a:endParaRPr lang="es-ES"/>
        </a:p>
      </dgm:t>
    </dgm:pt>
    <dgm:pt modelId="{14C874F6-B7AA-9B49-9A51-8E4A3FA4AAA5}" type="sibTrans" cxnId="{8A573D0B-6C92-EC4A-A30D-7240453BA6CB}">
      <dgm:prSet/>
      <dgm:spPr>
        <a:xfrm>
          <a:off x="1166116" y="291768"/>
          <a:ext cx="1553966" cy="1553966"/>
        </a:xfrm>
        <a:noFill/>
        <a:ln w="9525" cap="flat" cmpd="sng" algn="ctr">
          <a:solidFill>
            <a:srgbClr val="C0504D">
              <a:hueOff val="0"/>
              <a:satOff val="0"/>
              <a:lumOff val="0"/>
              <a:alphaOff val="0"/>
            </a:srgbClr>
          </a:solidFill>
          <a:prstDash val="solid"/>
          <a:tailEnd type="arrow"/>
        </a:ln>
        <a:effectLst/>
      </dgm:spPr>
      <dgm:t>
        <a:bodyPr/>
        <a:lstStyle/>
        <a:p>
          <a:endParaRPr lang="es-ES"/>
        </a:p>
      </dgm:t>
    </dgm:pt>
    <dgm:pt modelId="{0594F3E6-6CC4-9045-9A95-40C9AECF7D0D}" type="pres">
      <dgm:prSet presAssocID="{80EF5E2D-E05A-3941-A430-1936FA578F8F}" presName="cycle" presStyleCnt="0">
        <dgm:presLayoutVars>
          <dgm:dir/>
          <dgm:resizeHandles val="exact"/>
        </dgm:presLayoutVars>
      </dgm:prSet>
      <dgm:spPr/>
      <dgm:t>
        <a:bodyPr/>
        <a:lstStyle/>
        <a:p>
          <a:endParaRPr lang="es-ES"/>
        </a:p>
      </dgm:t>
    </dgm:pt>
    <dgm:pt modelId="{549CE015-E0B7-2647-8052-222139DCAFB3}" type="pres">
      <dgm:prSet presAssocID="{9CCF8528-4364-3D4B-AEBE-495C61B5EDF9}" presName="node" presStyleLbl="node1" presStyleIdx="0" presStyleCnt="3">
        <dgm:presLayoutVars>
          <dgm:bulletEnabled val="1"/>
        </dgm:presLayoutVars>
      </dgm:prSet>
      <dgm:spPr>
        <a:prstGeom prst="roundRect">
          <a:avLst/>
        </a:prstGeom>
      </dgm:spPr>
      <dgm:t>
        <a:bodyPr/>
        <a:lstStyle/>
        <a:p>
          <a:endParaRPr lang="es-ES"/>
        </a:p>
      </dgm:t>
    </dgm:pt>
    <dgm:pt modelId="{5DABEC43-9441-BD4B-A14D-004E64BD40AC}" type="pres">
      <dgm:prSet presAssocID="{9CCF8528-4364-3D4B-AEBE-495C61B5EDF9}" presName="spNode" presStyleCnt="0"/>
      <dgm:spPr/>
      <dgm:t>
        <a:bodyPr/>
        <a:lstStyle/>
        <a:p>
          <a:endParaRPr lang="es-ES"/>
        </a:p>
      </dgm:t>
    </dgm:pt>
    <dgm:pt modelId="{7E0CA38B-FE07-334F-8754-5DDD78E5725C}" type="pres">
      <dgm:prSet presAssocID="{10E9A8E4-37DC-3F4E-AF27-7F868368510A}" presName="sibTrans" presStyleLbl="sibTrans1D1" presStyleIdx="0" presStyleCnt="3"/>
      <dgm:spPr>
        <a:custGeom>
          <a:avLst/>
          <a:gdLst/>
          <a:ahLst/>
          <a:cxnLst/>
          <a:rect l="0" t="0" r="0" b="0"/>
          <a:pathLst>
            <a:path>
              <a:moveTo>
                <a:pt x="1345233" y="247082"/>
              </a:moveTo>
              <a:arcTo wR="776983" hR="776983" stAng="19020003" swAng="2303808"/>
            </a:path>
          </a:pathLst>
        </a:custGeom>
      </dgm:spPr>
      <dgm:t>
        <a:bodyPr/>
        <a:lstStyle/>
        <a:p>
          <a:endParaRPr lang="es-ES"/>
        </a:p>
      </dgm:t>
    </dgm:pt>
    <dgm:pt modelId="{1FA95FB6-30AD-7546-B31B-C8141554DA30}" type="pres">
      <dgm:prSet presAssocID="{85F9FA88-B0BC-2449-9A8B-9C1B42997ACF}" presName="node" presStyleLbl="node1" presStyleIdx="1" presStyleCnt="3">
        <dgm:presLayoutVars>
          <dgm:bulletEnabled val="1"/>
        </dgm:presLayoutVars>
      </dgm:prSet>
      <dgm:spPr>
        <a:prstGeom prst="roundRect">
          <a:avLst/>
        </a:prstGeom>
      </dgm:spPr>
      <dgm:t>
        <a:bodyPr/>
        <a:lstStyle/>
        <a:p>
          <a:endParaRPr lang="es-ES"/>
        </a:p>
      </dgm:t>
    </dgm:pt>
    <dgm:pt modelId="{FBCD57D9-C1CF-FA44-8870-E08BE94D9FE6}" type="pres">
      <dgm:prSet presAssocID="{85F9FA88-B0BC-2449-9A8B-9C1B42997ACF}" presName="spNode" presStyleCnt="0"/>
      <dgm:spPr/>
      <dgm:t>
        <a:bodyPr/>
        <a:lstStyle/>
        <a:p>
          <a:endParaRPr lang="es-ES"/>
        </a:p>
      </dgm:t>
    </dgm:pt>
    <dgm:pt modelId="{3D7216B6-8A76-964C-9039-92DB0C2657A9}" type="pres">
      <dgm:prSet presAssocID="{510E4116-CAE5-D144-818C-ECBE55731CE6}" presName="sibTrans" presStyleLbl="sibTrans1D1" presStyleIdx="1" presStyleCnt="3"/>
      <dgm:spPr>
        <a:custGeom>
          <a:avLst/>
          <a:gdLst/>
          <a:ahLst/>
          <a:cxnLst/>
          <a:rect l="0" t="0" r="0" b="0"/>
          <a:pathLst>
            <a:path>
              <a:moveTo>
                <a:pt x="1015636" y="1516407"/>
              </a:moveTo>
              <a:arcTo wR="776983" hR="776983" stAng="4326734" swAng="2146532"/>
            </a:path>
          </a:pathLst>
        </a:custGeom>
      </dgm:spPr>
      <dgm:t>
        <a:bodyPr/>
        <a:lstStyle/>
        <a:p>
          <a:endParaRPr lang="es-ES"/>
        </a:p>
      </dgm:t>
    </dgm:pt>
    <dgm:pt modelId="{5F65AEA9-51CB-B842-8B89-B6596A6C7348}" type="pres">
      <dgm:prSet presAssocID="{B9C99573-3C63-514A-82CC-66FE6EF6FBA9}" presName="node" presStyleLbl="node1" presStyleIdx="2" presStyleCnt="3">
        <dgm:presLayoutVars>
          <dgm:bulletEnabled val="1"/>
        </dgm:presLayoutVars>
      </dgm:prSet>
      <dgm:spPr>
        <a:prstGeom prst="roundRect">
          <a:avLst/>
        </a:prstGeom>
      </dgm:spPr>
      <dgm:t>
        <a:bodyPr/>
        <a:lstStyle/>
        <a:p>
          <a:endParaRPr lang="es-ES"/>
        </a:p>
      </dgm:t>
    </dgm:pt>
    <dgm:pt modelId="{C7BE1E6C-322B-BA42-8CF7-6BD40190F856}" type="pres">
      <dgm:prSet presAssocID="{B9C99573-3C63-514A-82CC-66FE6EF6FBA9}" presName="spNode" presStyleCnt="0"/>
      <dgm:spPr/>
      <dgm:t>
        <a:bodyPr/>
        <a:lstStyle/>
        <a:p>
          <a:endParaRPr lang="es-ES"/>
        </a:p>
      </dgm:t>
    </dgm:pt>
    <dgm:pt modelId="{E77416EA-C551-7948-A71C-87894518E226}" type="pres">
      <dgm:prSet presAssocID="{14C874F6-B7AA-9B49-9A51-8E4A3FA4AAA5}" presName="sibTrans" presStyleLbl="sibTrans1D1" presStyleIdx="2" presStyleCnt="3"/>
      <dgm:spPr>
        <a:custGeom>
          <a:avLst/>
          <a:gdLst/>
          <a:ahLst/>
          <a:cxnLst/>
          <a:rect l="0" t="0" r="0" b="0"/>
          <a:pathLst>
            <a:path>
              <a:moveTo>
                <a:pt x="2506" y="714627"/>
              </a:moveTo>
              <a:arcTo wR="776983" hR="776983" stAng="11076189" swAng="2303808"/>
            </a:path>
          </a:pathLst>
        </a:custGeom>
      </dgm:spPr>
      <dgm:t>
        <a:bodyPr/>
        <a:lstStyle/>
        <a:p>
          <a:endParaRPr lang="es-ES"/>
        </a:p>
      </dgm:t>
    </dgm:pt>
  </dgm:ptLst>
  <dgm:cxnLst>
    <dgm:cxn modelId="{8A573D0B-6C92-EC4A-A30D-7240453BA6CB}" srcId="{80EF5E2D-E05A-3941-A430-1936FA578F8F}" destId="{B9C99573-3C63-514A-82CC-66FE6EF6FBA9}" srcOrd="2" destOrd="0" parTransId="{83B69170-4E2C-7847-BDE3-882BA70569FC}" sibTransId="{14C874F6-B7AA-9B49-9A51-8E4A3FA4AAA5}"/>
    <dgm:cxn modelId="{1B5541F2-0D9B-43D7-8BB0-AF536465D9E3}" type="presOf" srcId="{9CCF8528-4364-3D4B-AEBE-495C61B5EDF9}" destId="{549CE015-E0B7-2647-8052-222139DCAFB3}" srcOrd="0" destOrd="0" presId="urn:microsoft.com/office/officeart/2005/8/layout/cycle5"/>
    <dgm:cxn modelId="{C33487EE-B6A7-4E12-9441-A8A585415542}" type="presOf" srcId="{10E9A8E4-37DC-3F4E-AF27-7F868368510A}" destId="{7E0CA38B-FE07-334F-8754-5DDD78E5725C}" srcOrd="0" destOrd="0" presId="urn:microsoft.com/office/officeart/2005/8/layout/cycle5"/>
    <dgm:cxn modelId="{EDBC1855-2CF6-4F4E-BED2-B32C1A68EB28}" type="presOf" srcId="{B9C99573-3C63-514A-82CC-66FE6EF6FBA9}" destId="{5F65AEA9-51CB-B842-8B89-B6596A6C7348}" srcOrd="0" destOrd="0" presId="urn:microsoft.com/office/officeart/2005/8/layout/cycle5"/>
    <dgm:cxn modelId="{0CA9C93A-4952-48EC-A328-AE56492DA7A7}" type="presOf" srcId="{14C874F6-B7AA-9B49-9A51-8E4A3FA4AAA5}" destId="{E77416EA-C551-7948-A71C-87894518E226}" srcOrd="0" destOrd="0" presId="urn:microsoft.com/office/officeart/2005/8/layout/cycle5"/>
    <dgm:cxn modelId="{654109D3-C298-5D40-9C70-80B341E3F02A}" srcId="{80EF5E2D-E05A-3941-A430-1936FA578F8F}" destId="{85F9FA88-B0BC-2449-9A8B-9C1B42997ACF}" srcOrd="1" destOrd="0" parTransId="{FDFE84E7-B99E-E141-A671-421821B6A4E8}" sibTransId="{510E4116-CAE5-D144-818C-ECBE55731CE6}"/>
    <dgm:cxn modelId="{A6465B09-0872-4B7C-ACDB-CEF41C3378B1}" type="presOf" srcId="{80EF5E2D-E05A-3941-A430-1936FA578F8F}" destId="{0594F3E6-6CC4-9045-9A95-40C9AECF7D0D}" srcOrd="0" destOrd="0" presId="urn:microsoft.com/office/officeart/2005/8/layout/cycle5"/>
    <dgm:cxn modelId="{B4A8BCC9-8D96-413A-AFEB-65ED1FB7D67A}" type="presOf" srcId="{85F9FA88-B0BC-2449-9A8B-9C1B42997ACF}" destId="{1FA95FB6-30AD-7546-B31B-C8141554DA30}" srcOrd="0" destOrd="0" presId="urn:microsoft.com/office/officeart/2005/8/layout/cycle5"/>
    <dgm:cxn modelId="{091D2C1E-914E-D248-B434-8F4BA4BEDFDF}" srcId="{80EF5E2D-E05A-3941-A430-1936FA578F8F}" destId="{9CCF8528-4364-3D4B-AEBE-495C61B5EDF9}" srcOrd="0" destOrd="0" parTransId="{F5533C8A-1F37-F948-AF59-EA0E3C6CD706}" sibTransId="{10E9A8E4-37DC-3F4E-AF27-7F868368510A}"/>
    <dgm:cxn modelId="{99983E36-C2EB-4C3D-9664-00D2CDF23986}" type="presOf" srcId="{510E4116-CAE5-D144-818C-ECBE55731CE6}" destId="{3D7216B6-8A76-964C-9039-92DB0C2657A9}" srcOrd="0" destOrd="0" presId="urn:microsoft.com/office/officeart/2005/8/layout/cycle5"/>
    <dgm:cxn modelId="{A837B867-08EA-45C7-BD42-3428C8E1669B}" type="presParOf" srcId="{0594F3E6-6CC4-9045-9A95-40C9AECF7D0D}" destId="{549CE015-E0B7-2647-8052-222139DCAFB3}" srcOrd="0" destOrd="0" presId="urn:microsoft.com/office/officeart/2005/8/layout/cycle5"/>
    <dgm:cxn modelId="{F389228B-47A5-480E-8EFB-F23C51F42EEE}" type="presParOf" srcId="{0594F3E6-6CC4-9045-9A95-40C9AECF7D0D}" destId="{5DABEC43-9441-BD4B-A14D-004E64BD40AC}" srcOrd="1" destOrd="0" presId="urn:microsoft.com/office/officeart/2005/8/layout/cycle5"/>
    <dgm:cxn modelId="{D0E65CA6-DD4C-45FB-AB4F-8595D6606820}" type="presParOf" srcId="{0594F3E6-6CC4-9045-9A95-40C9AECF7D0D}" destId="{7E0CA38B-FE07-334F-8754-5DDD78E5725C}" srcOrd="2" destOrd="0" presId="urn:microsoft.com/office/officeart/2005/8/layout/cycle5"/>
    <dgm:cxn modelId="{051B34EC-B520-4C7E-BF96-5FEF45AF90AD}" type="presParOf" srcId="{0594F3E6-6CC4-9045-9A95-40C9AECF7D0D}" destId="{1FA95FB6-30AD-7546-B31B-C8141554DA30}" srcOrd="3" destOrd="0" presId="urn:microsoft.com/office/officeart/2005/8/layout/cycle5"/>
    <dgm:cxn modelId="{CE34B96E-726D-455E-AF96-36DCB71CC797}" type="presParOf" srcId="{0594F3E6-6CC4-9045-9A95-40C9AECF7D0D}" destId="{FBCD57D9-C1CF-FA44-8870-E08BE94D9FE6}" srcOrd="4" destOrd="0" presId="urn:microsoft.com/office/officeart/2005/8/layout/cycle5"/>
    <dgm:cxn modelId="{5C7FA2E3-3648-43AF-B75C-D7F056633FC1}" type="presParOf" srcId="{0594F3E6-6CC4-9045-9A95-40C9AECF7D0D}" destId="{3D7216B6-8A76-964C-9039-92DB0C2657A9}" srcOrd="5" destOrd="0" presId="urn:microsoft.com/office/officeart/2005/8/layout/cycle5"/>
    <dgm:cxn modelId="{0696B41F-454F-47CC-91AC-51883298D532}" type="presParOf" srcId="{0594F3E6-6CC4-9045-9A95-40C9AECF7D0D}" destId="{5F65AEA9-51CB-B842-8B89-B6596A6C7348}" srcOrd="6" destOrd="0" presId="urn:microsoft.com/office/officeart/2005/8/layout/cycle5"/>
    <dgm:cxn modelId="{E393481F-F493-49CD-A659-C81758740620}" type="presParOf" srcId="{0594F3E6-6CC4-9045-9A95-40C9AECF7D0D}" destId="{C7BE1E6C-322B-BA42-8CF7-6BD40190F856}" srcOrd="7" destOrd="0" presId="urn:microsoft.com/office/officeart/2005/8/layout/cycle5"/>
    <dgm:cxn modelId="{24B20154-FA6F-4816-9C37-CFB7C8A334D0}" type="presParOf" srcId="{0594F3E6-6CC4-9045-9A95-40C9AECF7D0D}" destId="{E77416EA-C551-7948-A71C-87894518E226}" srcOrd="8" destOrd="0" presId="urn:microsoft.com/office/officeart/2005/8/layout/cycle5"/>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1C73C56-DCC4-EB4D-823E-27AE2E749DCA}" type="doc">
      <dgm:prSet loTypeId="urn:microsoft.com/office/officeart/2005/8/layout/cycle5" loCatId="" qsTypeId="urn:microsoft.com/office/officeart/2005/8/quickstyle/simple4" qsCatId="simple" csTypeId="urn:microsoft.com/office/officeart/2005/8/colors/accent5_2" csCatId="accent5" phldr="1"/>
      <dgm:spPr/>
      <dgm:t>
        <a:bodyPr/>
        <a:lstStyle/>
        <a:p>
          <a:endParaRPr lang="es-ES"/>
        </a:p>
      </dgm:t>
    </dgm:pt>
    <dgm:pt modelId="{25AB413E-4809-4B47-955A-2907ABD00128}">
      <dgm:prSet phldrT="[Texto]"/>
      <dgm:spPr>
        <a:xfrm>
          <a:off x="464187" y="413711"/>
          <a:ext cx="1189865" cy="773412"/>
        </a:xfr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Promoción de Derechos Humanos</a:t>
          </a:r>
        </a:p>
      </dgm:t>
    </dgm:pt>
    <dgm:pt modelId="{2346EA99-ECE3-6047-8A57-315279CC4212}" type="parTrans" cxnId="{9B4A2BD1-3393-D949-8053-C1FA6982AC04}">
      <dgm:prSet/>
      <dgm:spPr/>
      <dgm:t>
        <a:bodyPr/>
        <a:lstStyle/>
        <a:p>
          <a:endParaRPr lang="es-ES"/>
        </a:p>
      </dgm:t>
    </dgm:pt>
    <dgm:pt modelId="{7A841456-5972-1D4B-9959-552CFCFC5FFB}" type="sibTrans" cxnId="{9B4A2BD1-3393-D949-8053-C1FA6982AC04}">
      <dgm:prSet/>
      <dgm:spPr>
        <a:xfrm>
          <a:off x="1059120" y="143450"/>
          <a:ext cx="1313933" cy="1313933"/>
        </a:xfrm>
        <a:noFill/>
        <a:ln w="9525" cap="flat" cmpd="sng" algn="ctr">
          <a:solidFill>
            <a:srgbClr val="4BACC6">
              <a:hueOff val="0"/>
              <a:satOff val="0"/>
              <a:lumOff val="0"/>
              <a:alphaOff val="0"/>
            </a:srgbClr>
          </a:solidFill>
          <a:prstDash val="solid"/>
          <a:tailEnd type="arrow"/>
        </a:ln>
        <a:effectLst/>
      </dgm:spPr>
      <dgm:t>
        <a:bodyPr/>
        <a:lstStyle/>
        <a:p>
          <a:endParaRPr lang="es-ES"/>
        </a:p>
      </dgm:t>
    </dgm:pt>
    <dgm:pt modelId="{7449D247-0FB0-8644-BCF0-80C01D80AD2A}">
      <dgm:prSet phldrT="[Texto]"/>
      <dgm:spPr>
        <a:xfrm>
          <a:off x="1778121" y="413711"/>
          <a:ext cx="1189865" cy="773412"/>
        </a:xfr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Inclusión social</a:t>
          </a:r>
        </a:p>
      </dgm:t>
    </dgm:pt>
    <dgm:pt modelId="{83A6354A-A899-D94C-9F2F-7777EADB068C}" type="parTrans" cxnId="{8D00143D-B768-F643-A61E-E354EC4FC1E5}">
      <dgm:prSet/>
      <dgm:spPr/>
      <dgm:t>
        <a:bodyPr/>
        <a:lstStyle/>
        <a:p>
          <a:endParaRPr lang="es-ES"/>
        </a:p>
      </dgm:t>
    </dgm:pt>
    <dgm:pt modelId="{C60807BE-2CAD-D245-9A8F-C28B273F26B2}" type="sibTrans" cxnId="{8D00143D-B768-F643-A61E-E354EC4FC1E5}">
      <dgm:prSet/>
      <dgm:spPr>
        <a:xfrm>
          <a:off x="1059120" y="143450"/>
          <a:ext cx="1313933" cy="1313933"/>
        </a:xfrm>
        <a:noFill/>
        <a:ln w="9525" cap="flat" cmpd="sng" algn="ctr">
          <a:solidFill>
            <a:srgbClr val="4BACC6">
              <a:hueOff val="0"/>
              <a:satOff val="0"/>
              <a:lumOff val="0"/>
              <a:alphaOff val="0"/>
            </a:srgbClr>
          </a:solidFill>
          <a:prstDash val="solid"/>
          <a:tailEnd type="arrow"/>
        </a:ln>
        <a:effectLst/>
      </dgm:spPr>
      <dgm:t>
        <a:bodyPr/>
        <a:lstStyle/>
        <a:p>
          <a:endParaRPr lang="es-ES"/>
        </a:p>
      </dgm:t>
    </dgm:pt>
    <dgm:pt modelId="{AE4F43F9-92D1-7F44-8B31-43D8DFA2ACE9}" type="pres">
      <dgm:prSet presAssocID="{21C73C56-DCC4-EB4D-823E-27AE2E749DCA}" presName="cycle" presStyleCnt="0">
        <dgm:presLayoutVars>
          <dgm:dir/>
          <dgm:resizeHandles val="exact"/>
        </dgm:presLayoutVars>
      </dgm:prSet>
      <dgm:spPr/>
      <dgm:t>
        <a:bodyPr/>
        <a:lstStyle/>
        <a:p>
          <a:endParaRPr lang="es-ES"/>
        </a:p>
      </dgm:t>
    </dgm:pt>
    <dgm:pt modelId="{1DB02205-6A94-054F-83D9-F8D05FE9999E}" type="pres">
      <dgm:prSet presAssocID="{25AB413E-4809-4B47-955A-2907ABD00128}" presName="node" presStyleLbl="node1" presStyleIdx="0" presStyleCnt="2">
        <dgm:presLayoutVars>
          <dgm:bulletEnabled val="1"/>
        </dgm:presLayoutVars>
      </dgm:prSet>
      <dgm:spPr>
        <a:prstGeom prst="roundRect">
          <a:avLst/>
        </a:prstGeom>
      </dgm:spPr>
      <dgm:t>
        <a:bodyPr/>
        <a:lstStyle/>
        <a:p>
          <a:endParaRPr lang="es-ES"/>
        </a:p>
      </dgm:t>
    </dgm:pt>
    <dgm:pt modelId="{F1B43369-7F59-3647-A9E5-C5D5F5E80ED7}" type="pres">
      <dgm:prSet presAssocID="{25AB413E-4809-4B47-955A-2907ABD00128}" presName="spNode" presStyleCnt="0"/>
      <dgm:spPr/>
    </dgm:pt>
    <dgm:pt modelId="{B107CC74-8B66-1243-A9DC-9522DB25A3F7}" type="pres">
      <dgm:prSet presAssocID="{7A841456-5972-1D4B-9959-552CFCFC5FFB}" presName="sibTrans" presStyleLbl="sibTrans1D1" presStyleIdx="0" presStyleCnt="2"/>
      <dgm:spPr>
        <a:custGeom>
          <a:avLst/>
          <a:gdLst/>
          <a:ahLst/>
          <a:cxnLst/>
          <a:rect l="0" t="0" r="0" b="0"/>
          <a:pathLst>
            <a:path>
              <a:moveTo>
                <a:pt x="276274" y="121543"/>
              </a:moveTo>
              <a:arcTo wR="656966" hR="656966" stAng="14075203" swAng="4249593"/>
            </a:path>
          </a:pathLst>
        </a:custGeom>
      </dgm:spPr>
      <dgm:t>
        <a:bodyPr/>
        <a:lstStyle/>
        <a:p>
          <a:endParaRPr lang="es-ES"/>
        </a:p>
      </dgm:t>
    </dgm:pt>
    <dgm:pt modelId="{1A937E3B-93BD-764A-B276-DDC79A13CA01}" type="pres">
      <dgm:prSet presAssocID="{7449D247-0FB0-8644-BCF0-80C01D80AD2A}" presName="node" presStyleLbl="node1" presStyleIdx="1" presStyleCnt="2">
        <dgm:presLayoutVars>
          <dgm:bulletEnabled val="1"/>
        </dgm:presLayoutVars>
      </dgm:prSet>
      <dgm:spPr>
        <a:prstGeom prst="roundRect">
          <a:avLst/>
        </a:prstGeom>
      </dgm:spPr>
      <dgm:t>
        <a:bodyPr/>
        <a:lstStyle/>
        <a:p>
          <a:endParaRPr lang="es-ES"/>
        </a:p>
      </dgm:t>
    </dgm:pt>
    <dgm:pt modelId="{9493B57D-0F94-0941-9D95-D4D66D3D4D5F}" type="pres">
      <dgm:prSet presAssocID="{7449D247-0FB0-8644-BCF0-80C01D80AD2A}" presName="spNode" presStyleCnt="0"/>
      <dgm:spPr/>
    </dgm:pt>
    <dgm:pt modelId="{DA9F2141-47F2-D14E-BF30-63606B36331D}" type="pres">
      <dgm:prSet presAssocID="{C60807BE-2CAD-D245-9A8F-C28B273F26B2}" presName="sibTrans" presStyleLbl="sibTrans1D1" presStyleIdx="1" presStyleCnt="2"/>
      <dgm:spPr>
        <a:custGeom>
          <a:avLst/>
          <a:gdLst/>
          <a:ahLst/>
          <a:cxnLst/>
          <a:rect l="0" t="0" r="0" b="0"/>
          <a:pathLst>
            <a:path>
              <a:moveTo>
                <a:pt x="1037659" y="1192390"/>
              </a:moveTo>
              <a:arcTo wR="656966" hR="656966" stAng="3275203" swAng="4249593"/>
            </a:path>
          </a:pathLst>
        </a:custGeom>
      </dgm:spPr>
      <dgm:t>
        <a:bodyPr/>
        <a:lstStyle/>
        <a:p>
          <a:endParaRPr lang="es-ES"/>
        </a:p>
      </dgm:t>
    </dgm:pt>
  </dgm:ptLst>
  <dgm:cxnLst>
    <dgm:cxn modelId="{CDDDF85A-3D53-422E-91FD-90C45F2EA1A6}" type="presOf" srcId="{7A841456-5972-1D4B-9959-552CFCFC5FFB}" destId="{B107CC74-8B66-1243-A9DC-9522DB25A3F7}" srcOrd="0" destOrd="0" presId="urn:microsoft.com/office/officeart/2005/8/layout/cycle5"/>
    <dgm:cxn modelId="{44776215-B6F7-4E04-98D8-46A19C8B7C3E}" type="presOf" srcId="{25AB413E-4809-4B47-955A-2907ABD00128}" destId="{1DB02205-6A94-054F-83D9-F8D05FE9999E}" srcOrd="0" destOrd="0" presId="urn:microsoft.com/office/officeart/2005/8/layout/cycle5"/>
    <dgm:cxn modelId="{AD65DBFD-7460-4DC8-BE45-1F1B786D44B5}" type="presOf" srcId="{7449D247-0FB0-8644-BCF0-80C01D80AD2A}" destId="{1A937E3B-93BD-764A-B276-DDC79A13CA01}" srcOrd="0" destOrd="0" presId="urn:microsoft.com/office/officeart/2005/8/layout/cycle5"/>
    <dgm:cxn modelId="{9B4A2BD1-3393-D949-8053-C1FA6982AC04}" srcId="{21C73C56-DCC4-EB4D-823E-27AE2E749DCA}" destId="{25AB413E-4809-4B47-955A-2907ABD00128}" srcOrd="0" destOrd="0" parTransId="{2346EA99-ECE3-6047-8A57-315279CC4212}" sibTransId="{7A841456-5972-1D4B-9959-552CFCFC5FFB}"/>
    <dgm:cxn modelId="{5FA0AAFB-2596-4322-A802-C05E4AFA6FFA}" type="presOf" srcId="{21C73C56-DCC4-EB4D-823E-27AE2E749DCA}" destId="{AE4F43F9-92D1-7F44-8B31-43D8DFA2ACE9}" srcOrd="0" destOrd="0" presId="urn:microsoft.com/office/officeart/2005/8/layout/cycle5"/>
    <dgm:cxn modelId="{468B669A-06B7-4252-A7AF-F1DB16D69AE5}" type="presOf" srcId="{C60807BE-2CAD-D245-9A8F-C28B273F26B2}" destId="{DA9F2141-47F2-D14E-BF30-63606B36331D}" srcOrd="0" destOrd="0" presId="urn:microsoft.com/office/officeart/2005/8/layout/cycle5"/>
    <dgm:cxn modelId="{8D00143D-B768-F643-A61E-E354EC4FC1E5}" srcId="{21C73C56-DCC4-EB4D-823E-27AE2E749DCA}" destId="{7449D247-0FB0-8644-BCF0-80C01D80AD2A}" srcOrd="1" destOrd="0" parTransId="{83A6354A-A899-D94C-9F2F-7777EADB068C}" sibTransId="{C60807BE-2CAD-D245-9A8F-C28B273F26B2}"/>
    <dgm:cxn modelId="{60D822B7-BD9C-4E09-BEC6-0491979B8B87}" type="presParOf" srcId="{AE4F43F9-92D1-7F44-8B31-43D8DFA2ACE9}" destId="{1DB02205-6A94-054F-83D9-F8D05FE9999E}" srcOrd="0" destOrd="0" presId="urn:microsoft.com/office/officeart/2005/8/layout/cycle5"/>
    <dgm:cxn modelId="{F8E2BF85-57C3-458D-A968-FFECBDA92704}" type="presParOf" srcId="{AE4F43F9-92D1-7F44-8B31-43D8DFA2ACE9}" destId="{F1B43369-7F59-3647-A9E5-C5D5F5E80ED7}" srcOrd="1" destOrd="0" presId="urn:microsoft.com/office/officeart/2005/8/layout/cycle5"/>
    <dgm:cxn modelId="{B83DAC31-35C5-419E-B7F6-E1B1EF5B7FF6}" type="presParOf" srcId="{AE4F43F9-92D1-7F44-8B31-43D8DFA2ACE9}" destId="{B107CC74-8B66-1243-A9DC-9522DB25A3F7}" srcOrd="2" destOrd="0" presId="urn:microsoft.com/office/officeart/2005/8/layout/cycle5"/>
    <dgm:cxn modelId="{C6DD28B7-42CA-45E7-80D5-410A22113559}" type="presParOf" srcId="{AE4F43F9-92D1-7F44-8B31-43D8DFA2ACE9}" destId="{1A937E3B-93BD-764A-B276-DDC79A13CA01}" srcOrd="3" destOrd="0" presId="urn:microsoft.com/office/officeart/2005/8/layout/cycle5"/>
    <dgm:cxn modelId="{498C3ECB-B693-420A-874B-53994C4661CA}" type="presParOf" srcId="{AE4F43F9-92D1-7F44-8B31-43D8DFA2ACE9}" destId="{9493B57D-0F94-0941-9D95-D4D66D3D4D5F}" srcOrd="4" destOrd="0" presId="urn:microsoft.com/office/officeart/2005/8/layout/cycle5"/>
    <dgm:cxn modelId="{CA8C820C-5586-4463-8976-FDAD2D8FE5F6}" type="presParOf" srcId="{AE4F43F9-92D1-7F44-8B31-43D8DFA2ACE9}" destId="{DA9F2141-47F2-D14E-BF30-63606B36331D}" srcOrd="5" destOrd="0" presId="urn:microsoft.com/office/officeart/2005/8/layout/cycle5"/>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97A912A-3AFC-6C40-9144-B05A2ED1D319}"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es-ES"/>
        </a:p>
      </dgm:t>
    </dgm:pt>
    <dgm:pt modelId="{60B61F27-C14B-FC49-96BD-81DD9158F72F}">
      <dgm:prSet phldrT="[Texto]"/>
      <dgm:spPr>
        <a:xfrm>
          <a:off x="1948236" y="35"/>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Prevención social del delito</a:t>
          </a:r>
        </a:p>
      </dgm:t>
    </dgm:pt>
    <dgm:pt modelId="{F65A606D-1BAB-DC44-AF56-564169386FFB}" type="parTrans" cxnId="{A2A73B17-B62D-F248-8997-53E5242C04E3}">
      <dgm:prSet/>
      <dgm:spPr/>
      <dgm:t>
        <a:bodyPr/>
        <a:lstStyle/>
        <a:p>
          <a:endParaRPr lang="es-ES"/>
        </a:p>
      </dgm:t>
    </dgm:pt>
    <dgm:pt modelId="{51DCC7A3-3988-5143-9864-DCC4F63175D4}" type="sibTrans" cxnId="{A2A73B17-B62D-F248-8997-53E5242C04E3}">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76CA22D8-6B6E-AF4B-A645-A9846B70A90E}">
      <dgm:prSet phldrT="[Texto]"/>
      <dgm:spPr>
        <a:xfrm>
          <a:off x="2867052" y="667594"/>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Policía de proximidad</a:t>
          </a:r>
        </a:p>
      </dgm:t>
    </dgm:pt>
    <dgm:pt modelId="{9281E44D-AC25-5647-A2D8-5120AA422D81}" type="parTrans" cxnId="{B4A303A1-7CFF-734E-9DAF-956F8DBEFD6E}">
      <dgm:prSet/>
      <dgm:spPr/>
      <dgm:t>
        <a:bodyPr/>
        <a:lstStyle/>
        <a:p>
          <a:endParaRPr lang="es-ES"/>
        </a:p>
      </dgm:t>
    </dgm:pt>
    <dgm:pt modelId="{E37ADAC4-5F12-9648-88D2-463D9931D8FB}" type="sibTrans" cxnId="{B4A303A1-7CFF-734E-9DAF-956F8DBEFD6E}">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0134E2BC-E812-2745-ADA5-E09E1D7762A1}">
      <dgm:prSet phldrT="[Texto]"/>
      <dgm:spPr>
        <a:xfrm>
          <a:off x="2516095" y="1747726"/>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Generación de inteligencia</a:t>
          </a:r>
        </a:p>
      </dgm:t>
    </dgm:pt>
    <dgm:pt modelId="{EFEC15AE-EFF4-7A47-A659-7A7AE12D77D9}" type="parTrans" cxnId="{2BFFBFAA-EDA7-5047-B2E4-83D6F16CAB59}">
      <dgm:prSet/>
      <dgm:spPr/>
      <dgm:t>
        <a:bodyPr/>
        <a:lstStyle/>
        <a:p>
          <a:endParaRPr lang="es-ES"/>
        </a:p>
      </dgm:t>
    </dgm:pt>
    <dgm:pt modelId="{AC1E27A9-AA6B-774B-93BF-21211EB8BFA3}" type="sibTrans" cxnId="{2BFFBFAA-EDA7-5047-B2E4-83D6F16CAB59}">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454F1481-BB26-3D4F-BBAF-3CD36F82531F}">
      <dgm:prSet phldrT="[Texto]"/>
      <dgm:spPr>
        <a:xfrm>
          <a:off x="1029421" y="667594"/>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Justicia Municipal</a:t>
          </a:r>
        </a:p>
      </dgm:t>
    </dgm:pt>
    <dgm:pt modelId="{75D2FB7C-F4CC-794A-9743-4229A09153A7}" type="parTrans" cxnId="{605AAEE0-1DB7-F241-9A49-78BD1BEFAB51}">
      <dgm:prSet/>
      <dgm:spPr/>
      <dgm:t>
        <a:bodyPr/>
        <a:lstStyle/>
        <a:p>
          <a:endParaRPr lang="es-ES"/>
        </a:p>
      </dgm:t>
    </dgm:pt>
    <dgm:pt modelId="{6DA32242-33CD-1841-BC1A-7555F4F575C4}" type="sibTrans" cxnId="{605AAEE0-1DB7-F241-9A49-78BD1BEFAB51}">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8F97106D-A52A-8745-9399-E159330EFF3B}">
      <dgm:prSet phldrT="[Texto]"/>
      <dgm:spPr>
        <a:xfrm>
          <a:off x="1380377" y="1747726"/>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Seguridad vial</a:t>
          </a:r>
        </a:p>
      </dgm:t>
    </dgm:pt>
    <dgm:pt modelId="{5DA18537-8DBB-7A4F-958F-75007CB9DF31}" type="parTrans" cxnId="{9E13473E-8016-F04B-8FD4-ED5EA984EEAD}">
      <dgm:prSet/>
      <dgm:spPr/>
      <dgm:t>
        <a:bodyPr/>
        <a:lstStyle/>
        <a:p>
          <a:endParaRPr lang="es-ES"/>
        </a:p>
      </dgm:t>
    </dgm:pt>
    <dgm:pt modelId="{51B41A60-156E-E744-8ECF-C6235F7D0236}" type="sibTrans" cxnId="{9E13473E-8016-F04B-8FD4-ED5EA984EEAD}">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1EFE7AE5-8BE9-8A49-A77F-51CB80BDD000}" type="pres">
      <dgm:prSet presAssocID="{197A912A-3AFC-6C40-9144-B05A2ED1D319}" presName="cycle" presStyleCnt="0">
        <dgm:presLayoutVars>
          <dgm:dir/>
          <dgm:resizeHandles val="exact"/>
        </dgm:presLayoutVars>
      </dgm:prSet>
      <dgm:spPr/>
      <dgm:t>
        <a:bodyPr/>
        <a:lstStyle/>
        <a:p>
          <a:endParaRPr lang="es-ES"/>
        </a:p>
      </dgm:t>
    </dgm:pt>
    <dgm:pt modelId="{6F2FCDC9-1D72-5043-BD9D-8879B02FBD13}" type="pres">
      <dgm:prSet presAssocID="{60B61F27-C14B-FC49-96BD-81DD9158F72F}" presName="node" presStyleLbl="node1" presStyleIdx="0" presStyleCnt="5">
        <dgm:presLayoutVars>
          <dgm:bulletEnabled val="1"/>
        </dgm:presLayoutVars>
      </dgm:prSet>
      <dgm:spPr>
        <a:prstGeom prst="roundRect">
          <a:avLst/>
        </a:prstGeom>
      </dgm:spPr>
      <dgm:t>
        <a:bodyPr/>
        <a:lstStyle/>
        <a:p>
          <a:endParaRPr lang="es-ES"/>
        </a:p>
      </dgm:t>
    </dgm:pt>
    <dgm:pt modelId="{AA18283D-7201-3148-9397-4F26F7EA0223}" type="pres">
      <dgm:prSet presAssocID="{60B61F27-C14B-FC49-96BD-81DD9158F72F}" presName="spNode" presStyleCnt="0"/>
      <dgm:spPr/>
    </dgm:pt>
    <dgm:pt modelId="{48D55A32-54CB-FA4D-BAC2-7D9390CFDB56}" type="pres">
      <dgm:prSet presAssocID="{51DCC7A3-3988-5143-9864-DCC4F63175D4}" presName="sibTrans" presStyleLbl="sibTrans1D1" presStyleIdx="0" presStyleCnt="5"/>
      <dgm:spPr>
        <a:custGeom>
          <a:avLst/>
          <a:gdLst/>
          <a:ahLst/>
          <a:cxnLst/>
          <a:rect l="0" t="0" r="0" b="0"/>
          <a:pathLst>
            <a:path>
              <a:moveTo>
                <a:pt x="1437449" y="122785"/>
              </a:moveTo>
              <a:arcTo wR="966099" hR="966099" stAng="17952117" swAng="1213632"/>
            </a:path>
          </a:pathLst>
        </a:custGeom>
      </dgm:spPr>
      <dgm:t>
        <a:bodyPr/>
        <a:lstStyle/>
        <a:p>
          <a:endParaRPr lang="es-ES"/>
        </a:p>
      </dgm:t>
    </dgm:pt>
    <dgm:pt modelId="{EA9992CF-046B-3B47-97EE-57B76AD3821B}" type="pres">
      <dgm:prSet presAssocID="{76CA22D8-6B6E-AF4B-A645-A9846B70A90E}" presName="node" presStyleLbl="node1" presStyleIdx="1" presStyleCnt="5">
        <dgm:presLayoutVars>
          <dgm:bulletEnabled val="1"/>
        </dgm:presLayoutVars>
      </dgm:prSet>
      <dgm:spPr>
        <a:prstGeom prst="roundRect">
          <a:avLst/>
        </a:prstGeom>
      </dgm:spPr>
      <dgm:t>
        <a:bodyPr/>
        <a:lstStyle/>
        <a:p>
          <a:endParaRPr lang="es-ES"/>
        </a:p>
      </dgm:t>
    </dgm:pt>
    <dgm:pt modelId="{D855DEE5-3564-1744-A857-4A91210C8D55}" type="pres">
      <dgm:prSet presAssocID="{76CA22D8-6B6E-AF4B-A645-A9846B70A90E}" presName="spNode" presStyleCnt="0"/>
      <dgm:spPr/>
    </dgm:pt>
    <dgm:pt modelId="{D4EFCD9F-F2FE-3047-A1F1-1733F8EBC9C2}" type="pres">
      <dgm:prSet presAssocID="{E37ADAC4-5F12-9648-88D2-463D9931D8FB}" presName="sibTrans" presStyleLbl="sibTrans1D1" presStyleIdx="1" presStyleCnt="5"/>
      <dgm:spPr>
        <a:custGeom>
          <a:avLst/>
          <a:gdLst/>
          <a:ahLst/>
          <a:cxnLst/>
          <a:rect l="0" t="0" r="0" b="0"/>
          <a:pathLst>
            <a:path>
              <a:moveTo>
                <a:pt x="1929895" y="1032783"/>
              </a:moveTo>
              <a:arcTo wR="966099" hR="966099" stAng="21837473" swAng="1361346"/>
            </a:path>
          </a:pathLst>
        </a:custGeom>
      </dgm:spPr>
      <dgm:t>
        <a:bodyPr/>
        <a:lstStyle/>
        <a:p>
          <a:endParaRPr lang="es-ES"/>
        </a:p>
      </dgm:t>
    </dgm:pt>
    <dgm:pt modelId="{41026D03-FE6B-2945-89E0-5DF842676E85}" type="pres">
      <dgm:prSet presAssocID="{0134E2BC-E812-2745-ADA5-E09E1D7762A1}" presName="node" presStyleLbl="node1" presStyleIdx="2" presStyleCnt="5">
        <dgm:presLayoutVars>
          <dgm:bulletEnabled val="1"/>
        </dgm:presLayoutVars>
      </dgm:prSet>
      <dgm:spPr>
        <a:prstGeom prst="roundRect">
          <a:avLst/>
        </a:prstGeom>
      </dgm:spPr>
      <dgm:t>
        <a:bodyPr/>
        <a:lstStyle/>
        <a:p>
          <a:endParaRPr lang="es-ES"/>
        </a:p>
      </dgm:t>
    </dgm:pt>
    <dgm:pt modelId="{197299C7-9C71-E347-B78B-F8A5FBF07136}" type="pres">
      <dgm:prSet presAssocID="{0134E2BC-E812-2745-ADA5-E09E1D7762A1}" presName="spNode" presStyleCnt="0"/>
      <dgm:spPr/>
    </dgm:pt>
    <dgm:pt modelId="{CC0BA1D7-A919-A74A-A8BD-2A04A5C1E5B0}" type="pres">
      <dgm:prSet presAssocID="{AC1E27A9-AA6B-774B-93BF-21211EB8BFA3}" presName="sibTrans" presStyleLbl="sibTrans1D1" presStyleIdx="2" presStyleCnt="5"/>
      <dgm:spPr>
        <a:custGeom>
          <a:avLst/>
          <a:gdLst/>
          <a:ahLst/>
          <a:cxnLst/>
          <a:rect l="0" t="0" r="0" b="0"/>
          <a:pathLst>
            <a:path>
              <a:moveTo>
                <a:pt x="1084975" y="1924857"/>
              </a:moveTo>
              <a:arcTo wR="966099" hR="966099" stAng="4975919" swAng="848162"/>
            </a:path>
          </a:pathLst>
        </a:custGeom>
      </dgm:spPr>
      <dgm:t>
        <a:bodyPr/>
        <a:lstStyle/>
        <a:p>
          <a:endParaRPr lang="es-ES"/>
        </a:p>
      </dgm:t>
    </dgm:pt>
    <dgm:pt modelId="{E74529EC-94D9-D247-B04E-649F23F55832}" type="pres">
      <dgm:prSet presAssocID="{8F97106D-A52A-8745-9399-E159330EFF3B}" presName="node" presStyleLbl="node1" presStyleIdx="3" presStyleCnt="5">
        <dgm:presLayoutVars>
          <dgm:bulletEnabled val="1"/>
        </dgm:presLayoutVars>
      </dgm:prSet>
      <dgm:spPr>
        <a:prstGeom prst="roundRect">
          <a:avLst/>
        </a:prstGeom>
      </dgm:spPr>
      <dgm:t>
        <a:bodyPr/>
        <a:lstStyle/>
        <a:p>
          <a:endParaRPr lang="es-ES"/>
        </a:p>
      </dgm:t>
    </dgm:pt>
    <dgm:pt modelId="{21D09415-7B63-A646-8829-458070C310A3}" type="pres">
      <dgm:prSet presAssocID="{8F97106D-A52A-8745-9399-E159330EFF3B}" presName="spNode" presStyleCnt="0"/>
      <dgm:spPr/>
    </dgm:pt>
    <dgm:pt modelId="{DD0DB5B7-F84D-9E4C-A4C9-FAF0BD558B77}" type="pres">
      <dgm:prSet presAssocID="{51B41A60-156E-E744-8ECF-C6235F7D0236}" presName="sibTrans" presStyleLbl="sibTrans1D1" presStyleIdx="3" presStyleCnt="5"/>
      <dgm:spPr>
        <a:custGeom>
          <a:avLst/>
          <a:gdLst/>
          <a:ahLst/>
          <a:cxnLst/>
          <a:rect l="0" t="0" r="0" b="0"/>
          <a:pathLst>
            <a:path>
              <a:moveTo>
                <a:pt x="102612" y="1399387"/>
              </a:moveTo>
              <a:arcTo wR="966099" hR="966099" stAng="9201181" swAng="1361346"/>
            </a:path>
          </a:pathLst>
        </a:custGeom>
      </dgm:spPr>
      <dgm:t>
        <a:bodyPr/>
        <a:lstStyle/>
        <a:p>
          <a:endParaRPr lang="es-ES"/>
        </a:p>
      </dgm:t>
    </dgm:pt>
    <dgm:pt modelId="{6ED73A3A-0771-044E-B2E5-86BA952A0DA1}" type="pres">
      <dgm:prSet presAssocID="{454F1481-BB26-3D4F-BBAF-3CD36F82531F}" presName="node" presStyleLbl="node1" presStyleIdx="4" presStyleCnt="5">
        <dgm:presLayoutVars>
          <dgm:bulletEnabled val="1"/>
        </dgm:presLayoutVars>
      </dgm:prSet>
      <dgm:spPr>
        <a:prstGeom prst="roundRect">
          <a:avLst/>
        </a:prstGeom>
      </dgm:spPr>
      <dgm:t>
        <a:bodyPr/>
        <a:lstStyle/>
        <a:p>
          <a:endParaRPr lang="es-ES"/>
        </a:p>
      </dgm:t>
    </dgm:pt>
    <dgm:pt modelId="{5CC64E91-531E-A84A-BC70-DEDC1EB131AB}" type="pres">
      <dgm:prSet presAssocID="{454F1481-BB26-3D4F-BBAF-3CD36F82531F}" presName="spNode" presStyleCnt="0"/>
      <dgm:spPr/>
    </dgm:pt>
    <dgm:pt modelId="{63782F47-8071-F949-9594-AFA12A869513}" type="pres">
      <dgm:prSet presAssocID="{6DA32242-33CD-1841-BC1A-7555F4F575C4}" presName="sibTrans" presStyleLbl="sibTrans1D1" presStyleIdx="4" presStyleCnt="5"/>
      <dgm:spPr>
        <a:custGeom>
          <a:avLst/>
          <a:gdLst/>
          <a:ahLst/>
          <a:cxnLst/>
          <a:rect l="0" t="0" r="0" b="0"/>
          <a:pathLst>
            <a:path>
              <a:moveTo>
                <a:pt x="232248" y="337760"/>
              </a:moveTo>
              <a:arcTo wR="966099" hR="966099" stAng="13234251" swAng="1213632"/>
            </a:path>
          </a:pathLst>
        </a:custGeom>
      </dgm:spPr>
      <dgm:t>
        <a:bodyPr/>
        <a:lstStyle/>
        <a:p>
          <a:endParaRPr lang="es-ES"/>
        </a:p>
      </dgm:t>
    </dgm:pt>
  </dgm:ptLst>
  <dgm:cxnLst>
    <dgm:cxn modelId="{FD590AB8-10C5-4DA8-A2DA-A65CB7531AC2}" type="presOf" srcId="{E37ADAC4-5F12-9648-88D2-463D9931D8FB}" destId="{D4EFCD9F-F2FE-3047-A1F1-1733F8EBC9C2}" srcOrd="0" destOrd="0" presId="urn:microsoft.com/office/officeart/2005/8/layout/cycle5"/>
    <dgm:cxn modelId="{A0BE0C4B-7C46-4C00-A30E-3AF40D1815BF}" type="presOf" srcId="{60B61F27-C14B-FC49-96BD-81DD9158F72F}" destId="{6F2FCDC9-1D72-5043-BD9D-8879B02FBD13}" srcOrd="0" destOrd="0" presId="urn:microsoft.com/office/officeart/2005/8/layout/cycle5"/>
    <dgm:cxn modelId="{9CEB0415-FD74-45F5-8CAB-EF39F30D4848}" type="presOf" srcId="{6DA32242-33CD-1841-BC1A-7555F4F575C4}" destId="{63782F47-8071-F949-9594-AFA12A869513}" srcOrd="0" destOrd="0" presId="urn:microsoft.com/office/officeart/2005/8/layout/cycle5"/>
    <dgm:cxn modelId="{A2A73B17-B62D-F248-8997-53E5242C04E3}" srcId="{197A912A-3AFC-6C40-9144-B05A2ED1D319}" destId="{60B61F27-C14B-FC49-96BD-81DD9158F72F}" srcOrd="0" destOrd="0" parTransId="{F65A606D-1BAB-DC44-AF56-564169386FFB}" sibTransId="{51DCC7A3-3988-5143-9864-DCC4F63175D4}"/>
    <dgm:cxn modelId="{B4A303A1-7CFF-734E-9DAF-956F8DBEFD6E}" srcId="{197A912A-3AFC-6C40-9144-B05A2ED1D319}" destId="{76CA22D8-6B6E-AF4B-A645-A9846B70A90E}" srcOrd="1" destOrd="0" parTransId="{9281E44D-AC25-5647-A2D8-5120AA422D81}" sibTransId="{E37ADAC4-5F12-9648-88D2-463D9931D8FB}"/>
    <dgm:cxn modelId="{B2545340-5C12-43CC-BB42-82E92183FA7D}" type="presOf" srcId="{AC1E27A9-AA6B-774B-93BF-21211EB8BFA3}" destId="{CC0BA1D7-A919-A74A-A8BD-2A04A5C1E5B0}" srcOrd="0" destOrd="0" presId="urn:microsoft.com/office/officeart/2005/8/layout/cycle5"/>
    <dgm:cxn modelId="{73A74163-CA74-4527-BE21-3B8D1189D82C}" type="presOf" srcId="{197A912A-3AFC-6C40-9144-B05A2ED1D319}" destId="{1EFE7AE5-8BE9-8A49-A77F-51CB80BDD000}" srcOrd="0" destOrd="0" presId="urn:microsoft.com/office/officeart/2005/8/layout/cycle5"/>
    <dgm:cxn modelId="{9E13473E-8016-F04B-8FD4-ED5EA984EEAD}" srcId="{197A912A-3AFC-6C40-9144-B05A2ED1D319}" destId="{8F97106D-A52A-8745-9399-E159330EFF3B}" srcOrd="3" destOrd="0" parTransId="{5DA18537-8DBB-7A4F-958F-75007CB9DF31}" sibTransId="{51B41A60-156E-E744-8ECF-C6235F7D0236}"/>
    <dgm:cxn modelId="{5A50CC38-7324-42A5-B593-F6C99DCB084D}" type="presOf" srcId="{76CA22D8-6B6E-AF4B-A645-A9846B70A90E}" destId="{EA9992CF-046B-3B47-97EE-57B76AD3821B}" srcOrd="0" destOrd="0" presId="urn:microsoft.com/office/officeart/2005/8/layout/cycle5"/>
    <dgm:cxn modelId="{EB94C4C6-AF14-4A99-9D71-598EC055F185}" type="presOf" srcId="{0134E2BC-E812-2745-ADA5-E09E1D7762A1}" destId="{41026D03-FE6B-2945-89E0-5DF842676E85}" srcOrd="0" destOrd="0" presId="urn:microsoft.com/office/officeart/2005/8/layout/cycle5"/>
    <dgm:cxn modelId="{605AAEE0-1DB7-F241-9A49-78BD1BEFAB51}" srcId="{197A912A-3AFC-6C40-9144-B05A2ED1D319}" destId="{454F1481-BB26-3D4F-BBAF-3CD36F82531F}" srcOrd="4" destOrd="0" parTransId="{75D2FB7C-F4CC-794A-9743-4229A09153A7}" sibTransId="{6DA32242-33CD-1841-BC1A-7555F4F575C4}"/>
    <dgm:cxn modelId="{E3838429-4D39-48FD-9342-3BE80A5273D5}" type="presOf" srcId="{51DCC7A3-3988-5143-9864-DCC4F63175D4}" destId="{48D55A32-54CB-FA4D-BAC2-7D9390CFDB56}" srcOrd="0" destOrd="0" presId="urn:microsoft.com/office/officeart/2005/8/layout/cycle5"/>
    <dgm:cxn modelId="{FD5AE65D-7041-4F0D-92E2-79731F1FE67E}" type="presOf" srcId="{51B41A60-156E-E744-8ECF-C6235F7D0236}" destId="{DD0DB5B7-F84D-9E4C-A4C9-FAF0BD558B77}" srcOrd="0" destOrd="0" presId="urn:microsoft.com/office/officeart/2005/8/layout/cycle5"/>
    <dgm:cxn modelId="{16E1A091-0693-4DB1-A7C2-2A72F15DC2D3}" type="presOf" srcId="{8F97106D-A52A-8745-9399-E159330EFF3B}" destId="{E74529EC-94D9-D247-B04E-649F23F55832}" srcOrd="0" destOrd="0" presId="urn:microsoft.com/office/officeart/2005/8/layout/cycle5"/>
    <dgm:cxn modelId="{2BFFBFAA-EDA7-5047-B2E4-83D6F16CAB59}" srcId="{197A912A-3AFC-6C40-9144-B05A2ED1D319}" destId="{0134E2BC-E812-2745-ADA5-E09E1D7762A1}" srcOrd="2" destOrd="0" parTransId="{EFEC15AE-EFF4-7A47-A659-7A7AE12D77D9}" sibTransId="{AC1E27A9-AA6B-774B-93BF-21211EB8BFA3}"/>
    <dgm:cxn modelId="{F0895B2C-ACCC-4F2D-AAA6-A881C177BFC5}" type="presOf" srcId="{454F1481-BB26-3D4F-BBAF-3CD36F82531F}" destId="{6ED73A3A-0771-044E-B2E5-86BA952A0DA1}" srcOrd="0" destOrd="0" presId="urn:microsoft.com/office/officeart/2005/8/layout/cycle5"/>
    <dgm:cxn modelId="{AEF3253A-995A-4D70-BA02-E0B0954DFBD4}" type="presParOf" srcId="{1EFE7AE5-8BE9-8A49-A77F-51CB80BDD000}" destId="{6F2FCDC9-1D72-5043-BD9D-8879B02FBD13}" srcOrd="0" destOrd="0" presId="urn:microsoft.com/office/officeart/2005/8/layout/cycle5"/>
    <dgm:cxn modelId="{C93C72AB-84DC-48EF-BAC0-EB08E510FB91}" type="presParOf" srcId="{1EFE7AE5-8BE9-8A49-A77F-51CB80BDD000}" destId="{AA18283D-7201-3148-9397-4F26F7EA0223}" srcOrd="1" destOrd="0" presId="urn:microsoft.com/office/officeart/2005/8/layout/cycle5"/>
    <dgm:cxn modelId="{B2D33F78-CF9F-4AC3-9369-BD2FE5B966D7}" type="presParOf" srcId="{1EFE7AE5-8BE9-8A49-A77F-51CB80BDD000}" destId="{48D55A32-54CB-FA4D-BAC2-7D9390CFDB56}" srcOrd="2" destOrd="0" presId="urn:microsoft.com/office/officeart/2005/8/layout/cycle5"/>
    <dgm:cxn modelId="{F3E58712-B212-4E9F-9643-B6BCCA8C6AC2}" type="presParOf" srcId="{1EFE7AE5-8BE9-8A49-A77F-51CB80BDD000}" destId="{EA9992CF-046B-3B47-97EE-57B76AD3821B}" srcOrd="3" destOrd="0" presId="urn:microsoft.com/office/officeart/2005/8/layout/cycle5"/>
    <dgm:cxn modelId="{7DF6E57B-520A-4545-81D0-F5DDB681A280}" type="presParOf" srcId="{1EFE7AE5-8BE9-8A49-A77F-51CB80BDD000}" destId="{D855DEE5-3564-1744-A857-4A91210C8D55}" srcOrd="4" destOrd="0" presId="urn:microsoft.com/office/officeart/2005/8/layout/cycle5"/>
    <dgm:cxn modelId="{92BD8549-9498-4093-97E5-C1DFA4EAF83E}" type="presParOf" srcId="{1EFE7AE5-8BE9-8A49-A77F-51CB80BDD000}" destId="{D4EFCD9F-F2FE-3047-A1F1-1733F8EBC9C2}" srcOrd="5" destOrd="0" presId="urn:microsoft.com/office/officeart/2005/8/layout/cycle5"/>
    <dgm:cxn modelId="{B6D54F99-C162-4EEB-8C1F-7371B92057C9}" type="presParOf" srcId="{1EFE7AE5-8BE9-8A49-A77F-51CB80BDD000}" destId="{41026D03-FE6B-2945-89E0-5DF842676E85}" srcOrd="6" destOrd="0" presId="urn:microsoft.com/office/officeart/2005/8/layout/cycle5"/>
    <dgm:cxn modelId="{31178F18-D9F8-4A3F-93E0-BD5146D1100B}" type="presParOf" srcId="{1EFE7AE5-8BE9-8A49-A77F-51CB80BDD000}" destId="{197299C7-9C71-E347-B78B-F8A5FBF07136}" srcOrd="7" destOrd="0" presId="urn:microsoft.com/office/officeart/2005/8/layout/cycle5"/>
    <dgm:cxn modelId="{D056D7E9-EA10-4524-825F-E665903A7A08}" type="presParOf" srcId="{1EFE7AE5-8BE9-8A49-A77F-51CB80BDD000}" destId="{CC0BA1D7-A919-A74A-A8BD-2A04A5C1E5B0}" srcOrd="8" destOrd="0" presId="urn:microsoft.com/office/officeart/2005/8/layout/cycle5"/>
    <dgm:cxn modelId="{2F970CBD-A0C1-47AF-89EA-4A66886F0A6F}" type="presParOf" srcId="{1EFE7AE5-8BE9-8A49-A77F-51CB80BDD000}" destId="{E74529EC-94D9-D247-B04E-649F23F55832}" srcOrd="9" destOrd="0" presId="urn:microsoft.com/office/officeart/2005/8/layout/cycle5"/>
    <dgm:cxn modelId="{CD456803-5288-4789-A31D-7CB15B79FB89}" type="presParOf" srcId="{1EFE7AE5-8BE9-8A49-A77F-51CB80BDD000}" destId="{21D09415-7B63-A646-8829-458070C310A3}" srcOrd="10" destOrd="0" presId="urn:microsoft.com/office/officeart/2005/8/layout/cycle5"/>
    <dgm:cxn modelId="{B448D1EC-8AE0-4826-BA3F-4910B2DB4070}" type="presParOf" srcId="{1EFE7AE5-8BE9-8A49-A77F-51CB80BDD000}" destId="{DD0DB5B7-F84D-9E4C-A4C9-FAF0BD558B77}" srcOrd="11" destOrd="0" presId="urn:microsoft.com/office/officeart/2005/8/layout/cycle5"/>
    <dgm:cxn modelId="{40E39D5B-900B-43F8-8D27-8BCFFB8FA508}" type="presParOf" srcId="{1EFE7AE5-8BE9-8A49-A77F-51CB80BDD000}" destId="{6ED73A3A-0771-044E-B2E5-86BA952A0DA1}" srcOrd="12" destOrd="0" presId="urn:microsoft.com/office/officeart/2005/8/layout/cycle5"/>
    <dgm:cxn modelId="{062C0141-BFFB-4E37-9CC4-CD9FA0F5A7FF}" type="presParOf" srcId="{1EFE7AE5-8BE9-8A49-A77F-51CB80BDD000}" destId="{5CC64E91-531E-A84A-BC70-DEDC1EB131AB}" srcOrd="13" destOrd="0" presId="urn:microsoft.com/office/officeart/2005/8/layout/cycle5"/>
    <dgm:cxn modelId="{8F1D0AF0-14A3-4174-B769-2FFB69B29ECC}" type="presParOf" srcId="{1EFE7AE5-8BE9-8A49-A77F-51CB80BDD000}" destId="{63782F47-8071-F949-9594-AFA12A869513}" srcOrd="14" destOrd="0" presId="urn:microsoft.com/office/officeart/2005/8/layout/cycle5"/>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97A912A-3AFC-6C40-9144-B05A2ED1D319}" type="doc">
      <dgm:prSet loTypeId="urn:microsoft.com/office/officeart/2005/8/layout/cycle5" loCatId="" qsTypeId="urn:microsoft.com/office/officeart/2005/8/quickstyle/simple4" qsCatId="simple" csTypeId="urn:microsoft.com/office/officeart/2005/8/colors/accent3_2" csCatId="accent3" phldr="1"/>
      <dgm:spPr/>
      <dgm:t>
        <a:bodyPr/>
        <a:lstStyle/>
        <a:p>
          <a:endParaRPr lang="es-ES"/>
        </a:p>
      </dgm:t>
    </dgm:pt>
    <dgm:pt modelId="{60B61F27-C14B-FC49-96BD-81DD9158F72F}">
      <dgm:prSet phldrT="[Texto]"/>
      <dgm:spPr>
        <a:xfrm>
          <a:off x="2441959" y="891545"/>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Movilidad Urbana</a:t>
          </a:r>
        </a:p>
      </dgm:t>
    </dgm:pt>
    <dgm:pt modelId="{F65A606D-1BAB-DC44-AF56-564169386FFB}" type="parTrans" cxnId="{A2A73B17-B62D-F248-8997-53E5242C04E3}">
      <dgm:prSet/>
      <dgm:spPr/>
      <dgm:t>
        <a:bodyPr/>
        <a:lstStyle/>
        <a:p>
          <a:endParaRPr lang="es-ES"/>
        </a:p>
      </dgm:t>
    </dgm:pt>
    <dgm:pt modelId="{51DCC7A3-3988-5143-9864-DCC4F63175D4}" type="sibTrans" cxnId="{A2A73B17-B62D-F248-8997-53E5242C04E3}">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76CA22D8-6B6E-AF4B-A645-A9846B70A90E}">
      <dgm:prSet phldrT="[Texto]"/>
      <dgm:spPr>
        <a:xfrm>
          <a:off x="1551265" y="1782240"/>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Equilibrio ecológico</a:t>
          </a:r>
        </a:p>
      </dgm:t>
    </dgm:pt>
    <dgm:pt modelId="{9281E44D-AC25-5647-A2D8-5120AA422D81}" type="parTrans" cxnId="{B4A303A1-7CFF-734E-9DAF-956F8DBEFD6E}">
      <dgm:prSet/>
      <dgm:spPr/>
      <dgm:t>
        <a:bodyPr/>
        <a:lstStyle/>
        <a:p>
          <a:endParaRPr lang="es-ES"/>
        </a:p>
      </dgm:t>
    </dgm:pt>
    <dgm:pt modelId="{E37ADAC4-5F12-9648-88D2-463D9931D8FB}" type="sibTrans" cxnId="{B4A303A1-7CFF-734E-9DAF-956F8DBEFD6E}">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AB986636-33C1-C649-98B3-5223699E2461}">
      <dgm:prSet phldrT="[Texto]"/>
      <dgm:spPr>
        <a:xfrm>
          <a:off x="1551265" y="851"/>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Gestión urbana y obra pública</a:t>
          </a:r>
        </a:p>
      </dgm:t>
    </dgm:pt>
    <dgm:pt modelId="{5721A1EA-78B3-FE44-8DEE-0F13694652D7}" type="parTrans" cxnId="{0EAF8EC1-25AC-AD43-BB31-BCB208238B8C}">
      <dgm:prSet/>
      <dgm:spPr/>
      <dgm:t>
        <a:bodyPr/>
        <a:lstStyle/>
        <a:p>
          <a:endParaRPr lang="es-ES"/>
        </a:p>
      </dgm:t>
    </dgm:pt>
    <dgm:pt modelId="{20BE2D3F-B47B-F143-A1BE-7ADC9105950B}" type="sibTrans" cxnId="{0EAF8EC1-25AC-AD43-BB31-BCB208238B8C}">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89A92FC8-241A-F54E-9306-1838F79E97B7}">
      <dgm:prSet phldrT="[Texto]"/>
      <dgm:spPr>
        <a:xfrm>
          <a:off x="660570" y="891545"/>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Servicios públicos de calidad</a:t>
          </a:r>
        </a:p>
      </dgm:t>
    </dgm:pt>
    <dgm:pt modelId="{5D5817DF-343D-6441-8078-69F15BFC8FE6}" type="parTrans" cxnId="{5BF184F5-3609-1341-9F22-1C7247CBA866}">
      <dgm:prSet/>
      <dgm:spPr/>
      <dgm:t>
        <a:bodyPr/>
        <a:lstStyle/>
        <a:p>
          <a:endParaRPr lang="es-ES"/>
        </a:p>
      </dgm:t>
    </dgm:pt>
    <dgm:pt modelId="{708A86ED-66F4-C34F-B572-B67DF696402D}" type="sibTrans" cxnId="{5BF184F5-3609-1341-9F22-1C7247CBA866}">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1EFE7AE5-8BE9-8A49-A77F-51CB80BDD000}" type="pres">
      <dgm:prSet presAssocID="{197A912A-3AFC-6C40-9144-B05A2ED1D319}" presName="cycle" presStyleCnt="0">
        <dgm:presLayoutVars>
          <dgm:dir/>
          <dgm:resizeHandles val="exact"/>
        </dgm:presLayoutVars>
      </dgm:prSet>
      <dgm:spPr/>
      <dgm:t>
        <a:bodyPr/>
        <a:lstStyle/>
        <a:p>
          <a:endParaRPr lang="es-ES"/>
        </a:p>
      </dgm:t>
    </dgm:pt>
    <dgm:pt modelId="{C51491CC-72F3-B744-A952-A86A83D4902D}" type="pres">
      <dgm:prSet presAssocID="{AB986636-33C1-C649-98B3-5223699E2461}" presName="node" presStyleLbl="node1" presStyleIdx="0" presStyleCnt="4">
        <dgm:presLayoutVars>
          <dgm:bulletEnabled val="1"/>
        </dgm:presLayoutVars>
      </dgm:prSet>
      <dgm:spPr>
        <a:prstGeom prst="roundRect">
          <a:avLst/>
        </a:prstGeom>
      </dgm:spPr>
      <dgm:t>
        <a:bodyPr/>
        <a:lstStyle/>
        <a:p>
          <a:endParaRPr lang="es-ES"/>
        </a:p>
      </dgm:t>
    </dgm:pt>
    <dgm:pt modelId="{8B4C5190-3DC2-4E42-9D7E-648C556CBC41}" type="pres">
      <dgm:prSet presAssocID="{AB986636-33C1-C649-98B3-5223699E2461}" presName="spNode" presStyleCnt="0"/>
      <dgm:spPr/>
      <dgm:t>
        <a:bodyPr/>
        <a:lstStyle/>
        <a:p>
          <a:endParaRPr lang="es-ES"/>
        </a:p>
      </dgm:t>
    </dgm:pt>
    <dgm:pt modelId="{5B21CB31-4C3D-3A48-8866-5DBC58380707}" type="pres">
      <dgm:prSet presAssocID="{20BE2D3F-B47B-F143-A1BE-7ADC9105950B}" presName="sibTrans" presStyleLbl="sibTrans1D1" presStyleIdx="0" presStyleCnt="4"/>
      <dgm:spPr>
        <a:custGeom>
          <a:avLst/>
          <a:gdLst/>
          <a:ahLst/>
          <a:cxnLst/>
          <a:rect l="0" t="0" r="0" b="0"/>
          <a:pathLst>
            <a:path>
              <a:moveTo>
                <a:pt x="1419891" y="174253"/>
              </a:moveTo>
              <a:arcTo wR="890694" hR="890694" stAng="18387080" swAng="1633788"/>
            </a:path>
          </a:pathLst>
        </a:custGeom>
      </dgm:spPr>
      <dgm:t>
        <a:bodyPr/>
        <a:lstStyle/>
        <a:p>
          <a:endParaRPr lang="es-ES"/>
        </a:p>
      </dgm:t>
    </dgm:pt>
    <dgm:pt modelId="{6F2FCDC9-1D72-5043-BD9D-8879B02FBD13}" type="pres">
      <dgm:prSet presAssocID="{60B61F27-C14B-FC49-96BD-81DD9158F72F}" presName="node" presStyleLbl="node1" presStyleIdx="1" presStyleCnt="4">
        <dgm:presLayoutVars>
          <dgm:bulletEnabled val="1"/>
        </dgm:presLayoutVars>
      </dgm:prSet>
      <dgm:spPr>
        <a:prstGeom prst="roundRect">
          <a:avLst/>
        </a:prstGeom>
      </dgm:spPr>
      <dgm:t>
        <a:bodyPr/>
        <a:lstStyle/>
        <a:p>
          <a:endParaRPr lang="es-ES"/>
        </a:p>
      </dgm:t>
    </dgm:pt>
    <dgm:pt modelId="{AA18283D-7201-3148-9397-4F26F7EA0223}" type="pres">
      <dgm:prSet presAssocID="{60B61F27-C14B-FC49-96BD-81DD9158F72F}" presName="spNode" presStyleCnt="0"/>
      <dgm:spPr/>
      <dgm:t>
        <a:bodyPr/>
        <a:lstStyle/>
        <a:p>
          <a:endParaRPr lang="es-ES"/>
        </a:p>
      </dgm:t>
    </dgm:pt>
    <dgm:pt modelId="{48D55A32-54CB-FA4D-BAC2-7D9390CFDB56}" type="pres">
      <dgm:prSet presAssocID="{51DCC7A3-3988-5143-9864-DCC4F63175D4}" presName="sibTrans" presStyleLbl="sibTrans1D1" presStyleIdx="1" presStyleCnt="4"/>
      <dgm:spPr>
        <a:custGeom>
          <a:avLst/>
          <a:gdLst/>
          <a:ahLst/>
          <a:cxnLst/>
          <a:rect l="0" t="0" r="0" b="0"/>
          <a:pathLst>
            <a:path>
              <a:moveTo>
                <a:pt x="1689059" y="1285598"/>
              </a:moveTo>
              <a:arcTo wR="890694" hR="890694" stAng="1579132" swAng="1633788"/>
            </a:path>
          </a:pathLst>
        </a:custGeom>
      </dgm:spPr>
      <dgm:t>
        <a:bodyPr/>
        <a:lstStyle/>
        <a:p>
          <a:endParaRPr lang="es-ES"/>
        </a:p>
      </dgm:t>
    </dgm:pt>
    <dgm:pt modelId="{EA9992CF-046B-3B47-97EE-57B76AD3821B}" type="pres">
      <dgm:prSet presAssocID="{76CA22D8-6B6E-AF4B-A645-A9846B70A90E}" presName="node" presStyleLbl="node1" presStyleIdx="2" presStyleCnt="4">
        <dgm:presLayoutVars>
          <dgm:bulletEnabled val="1"/>
        </dgm:presLayoutVars>
      </dgm:prSet>
      <dgm:spPr>
        <a:prstGeom prst="roundRect">
          <a:avLst/>
        </a:prstGeom>
      </dgm:spPr>
      <dgm:t>
        <a:bodyPr/>
        <a:lstStyle/>
        <a:p>
          <a:endParaRPr lang="es-ES"/>
        </a:p>
      </dgm:t>
    </dgm:pt>
    <dgm:pt modelId="{D855DEE5-3564-1744-A857-4A91210C8D55}" type="pres">
      <dgm:prSet presAssocID="{76CA22D8-6B6E-AF4B-A645-A9846B70A90E}" presName="spNode" presStyleCnt="0"/>
      <dgm:spPr/>
      <dgm:t>
        <a:bodyPr/>
        <a:lstStyle/>
        <a:p>
          <a:endParaRPr lang="es-ES"/>
        </a:p>
      </dgm:t>
    </dgm:pt>
    <dgm:pt modelId="{D4EFCD9F-F2FE-3047-A1F1-1733F8EBC9C2}" type="pres">
      <dgm:prSet presAssocID="{E37ADAC4-5F12-9648-88D2-463D9931D8FB}" presName="sibTrans" presStyleLbl="sibTrans1D1" presStyleIdx="2" presStyleCnt="4"/>
      <dgm:spPr>
        <a:custGeom>
          <a:avLst/>
          <a:gdLst/>
          <a:ahLst/>
          <a:cxnLst/>
          <a:rect l="0" t="0" r="0" b="0"/>
          <a:pathLst>
            <a:path>
              <a:moveTo>
                <a:pt x="361497" y="1607134"/>
              </a:moveTo>
              <a:arcTo wR="890694" hR="890694" stAng="7587080" swAng="1633788"/>
            </a:path>
          </a:pathLst>
        </a:custGeom>
      </dgm:spPr>
      <dgm:t>
        <a:bodyPr/>
        <a:lstStyle/>
        <a:p>
          <a:endParaRPr lang="es-ES"/>
        </a:p>
      </dgm:t>
    </dgm:pt>
    <dgm:pt modelId="{DDB31B5F-0D8C-BF4E-933E-B22D66FAE18A}" type="pres">
      <dgm:prSet presAssocID="{89A92FC8-241A-F54E-9306-1838F79E97B7}" presName="node" presStyleLbl="node1" presStyleIdx="3" presStyleCnt="4">
        <dgm:presLayoutVars>
          <dgm:bulletEnabled val="1"/>
        </dgm:presLayoutVars>
      </dgm:prSet>
      <dgm:spPr>
        <a:prstGeom prst="roundRect">
          <a:avLst/>
        </a:prstGeom>
      </dgm:spPr>
      <dgm:t>
        <a:bodyPr/>
        <a:lstStyle/>
        <a:p>
          <a:endParaRPr lang="es-ES"/>
        </a:p>
      </dgm:t>
    </dgm:pt>
    <dgm:pt modelId="{3DCD62AF-3404-8444-B8B6-F151DCCB84B2}" type="pres">
      <dgm:prSet presAssocID="{89A92FC8-241A-F54E-9306-1838F79E97B7}" presName="spNode" presStyleCnt="0"/>
      <dgm:spPr/>
      <dgm:t>
        <a:bodyPr/>
        <a:lstStyle/>
        <a:p>
          <a:endParaRPr lang="es-ES"/>
        </a:p>
      </dgm:t>
    </dgm:pt>
    <dgm:pt modelId="{26FFC350-A0B6-3945-9AB5-9AB9FD81E039}" type="pres">
      <dgm:prSet presAssocID="{708A86ED-66F4-C34F-B572-B67DF696402D}" presName="sibTrans" presStyleLbl="sibTrans1D1" presStyleIdx="3" presStyleCnt="4"/>
      <dgm:spPr>
        <a:custGeom>
          <a:avLst/>
          <a:gdLst/>
          <a:ahLst/>
          <a:cxnLst/>
          <a:rect l="0" t="0" r="0" b="0"/>
          <a:pathLst>
            <a:path>
              <a:moveTo>
                <a:pt x="92328" y="495790"/>
              </a:moveTo>
              <a:arcTo wR="890694" hR="890694" stAng="12379132" swAng="1633788"/>
            </a:path>
          </a:pathLst>
        </a:custGeom>
      </dgm:spPr>
      <dgm:t>
        <a:bodyPr/>
        <a:lstStyle/>
        <a:p>
          <a:endParaRPr lang="es-ES"/>
        </a:p>
      </dgm:t>
    </dgm:pt>
  </dgm:ptLst>
  <dgm:cxnLst>
    <dgm:cxn modelId="{ADF4DD41-4A65-405A-AD49-BFD5013C2BE3}" type="presOf" srcId="{89A92FC8-241A-F54E-9306-1838F79E97B7}" destId="{DDB31B5F-0D8C-BF4E-933E-B22D66FAE18A}" srcOrd="0" destOrd="0" presId="urn:microsoft.com/office/officeart/2005/8/layout/cycle5"/>
    <dgm:cxn modelId="{B9D43AF2-934A-4EB6-AE19-9962324863E3}" type="presOf" srcId="{20BE2D3F-B47B-F143-A1BE-7ADC9105950B}" destId="{5B21CB31-4C3D-3A48-8866-5DBC58380707}" srcOrd="0" destOrd="0" presId="urn:microsoft.com/office/officeart/2005/8/layout/cycle5"/>
    <dgm:cxn modelId="{A2A73B17-B62D-F248-8997-53E5242C04E3}" srcId="{197A912A-3AFC-6C40-9144-B05A2ED1D319}" destId="{60B61F27-C14B-FC49-96BD-81DD9158F72F}" srcOrd="1" destOrd="0" parTransId="{F65A606D-1BAB-DC44-AF56-564169386FFB}" sibTransId="{51DCC7A3-3988-5143-9864-DCC4F63175D4}"/>
    <dgm:cxn modelId="{0EAF8EC1-25AC-AD43-BB31-BCB208238B8C}" srcId="{197A912A-3AFC-6C40-9144-B05A2ED1D319}" destId="{AB986636-33C1-C649-98B3-5223699E2461}" srcOrd="0" destOrd="0" parTransId="{5721A1EA-78B3-FE44-8DEE-0F13694652D7}" sibTransId="{20BE2D3F-B47B-F143-A1BE-7ADC9105950B}"/>
    <dgm:cxn modelId="{109A87A8-F2B4-4E52-B8EC-D0D404322AF9}" type="presOf" srcId="{60B61F27-C14B-FC49-96BD-81DD9158F72F}" destId="{6F2FCDC9-1D72-5043-BD9D-8879B02FBD13}" srcOrd="0" destOrd="0" presId="urn:microsoft.com/office/officeart/2005/8/layout/cycle5"/>
    <dgm:cxn modelId="{153A17F7-213F-4F96-9FDB-C8AA873FD51B}" type="presOf" srcId="{51DCC7A3-3988-5143-9864-DCC4F63175D4}" destId="{48D55A32-54CB-FA4D-BAC2-7D9390CFDB56}" srcOrd="0" destOrd="0" presId="urn:microsoft.com/office/officeart/2005/8/layout/cycle5"/>
    <dgm:cxn modelId="{0A4E3742-3A5D-43A1-BFCE-589D0E0A21C5}" type="presOf" srcId="{AB986636-33C1-C649-98B3-5223699E2461}" destId="{C51491CC-72F3-B744-A952-A86A83D4902D}" srcOrd="0" destOrd="0" presId="urn:microsoft.com/office/officeart/2005/8/layout/cycle5"/>
    <dgm:cxn modelId="{11FB8F44-18B3-47BF-B0FE-5911FCBC1EA8}" type="presOf" srcId="{708A86ED-66F4-C34F-B572-B67DF696402D}" destId="{26FFC350-A0B6-3945-9AB5-9AB9FD81E039}" srcOrd="0" destOrd="0" presId="urn:microsoft.com/office/officeart/2005/8/layout/cycle5"/>
    <dgm:cxn modelId="{B4A303A1-7CFF-734E-9DAF-956F8DBEFD6E}" srcId="{197A912A-3AFC-6C40-9144-B05A2ED1D319}" destId="{76CA22D8-6B6E-AF4B-A645-A9846B70A90E}" srcOrd="2" destOrd="0" parTransId="{9281E44D-AC25-5647-A2D8-5120AA422D81}" sibTransId="{E37ADAC4-5F12-9648-88D2-463D9931D8FB}"/>
    <dgm:cxn modelId="{5973385C-40B1-4BD4-B682-BCA75091F951}" type="presOf" srcId="{76CA22D8-6B6E-AF4B-A645-A9846B70A90E}" destId="{EA9992CF-046B-3B47-97EE-57B76AD3821B}" srcOrd="0" destOrd="0" presId="urn:microsoft.com/office/officeart/2005/8/layout/cycle5"/>
    <dgm:cxn modelId="{713CAAAD-FE56-47D0-9466-DA6633387473}" type="presOf" srcId="{197A912A-3AFC-6C40-9144-B05A2ED1D319}" destId="{1EFE7AE5-8BE9-8A49-A77F-51CB80BDD000}" srcOrd="0" destOrd="0" presId="urn:microsoft.com/office/officeart/2005/8/layout/cycle5"/>
    <dgm:cxn modelId="{5BF184F5-3609-1341-9F22-1C7247CBA866}" srcId="{197A912A-3AFC-6C40-9144-B05A2ED1D319}" destId="{89A92FC8-241A-F54E-9306-1838F79E97B7}" srcOrd="3" destOrd="0" parTransId="{5D5817DF-343D-6441-8078-69F15BFC8FE6}" sibTransId="{708A86ED-66F4-C34F-B572-B67DF696402D}"/>
    <dgm:cxn modelId="{87E0A128-0ACF-4355-B0AA-3C9A21DF0C6A}" type="presOf" srcId="{E37ADAC4-5F12-9648-88D2-463D9931D8FB}" destId="{D4EFCD9F-F2FE-3047-A1F1-1733F8EBC9C2}" srcOrd="0" destOrd="0" presId="urn:microsoft.com/office/officeart/2005/8/layout/cycle5"/>
    <dgm:cxn modelId="{8B6AF938-8F5A-49D1-AAE5-DAF757359C5E}" type="presParOf" srcId="{1EFE7AE5-8BE9-8A49-A77F-51CB80BDD000}" destId="{C51491CC-72F3-B744-A952-A86A83D4902D}" srcOrd="0" destOrd="0" presId="urn:microsoft.com/office/officeart/2005/8/layout/cycle5"/>
    <dgm:cxn modelId="{1944B33B-A318-4B3F-9E61-F9DB852019FD}" type="presParOf" srcId="{1EFE7AE5-8BE9-8A49-A77F-51CB80BDD000}" destId="{8B4C5190-3DC2-4E42-9D7E-648C556CBC41}" srcOrd="1" destOrd="0" presId="urn:microsoft.com/office/officeart/2005/8/layout/cycle5"/>
    <dgm:cxn modelId="{8A5AA46F-C73F-4794-9592-93EBB95A3CCB}" type="presParOf" srcId="{1EFE7AE5-8BE9-8A49-A77F-51CB80BDD000}" destId="{5B21CB31-4C3D-3A48-8866-5DBC58380707}" srcOrd="2" destOrd="0" presId="urn:microsoft.com/office/officeart/2005/8/layout/cycle5"/>
    <dgm:cxn modelId="{6D688963-7D5C-46F0-A2C1-ABA7BD52C256}" type="presParOf" srcId="{1EFE7AE5-8BE9-8A49-A77F-51CB80BDD000}" destId="{6F2FCDC9-1D72-5043-BD9D-8879B02FBD13}" srcOrd="3" destOrd="0" presId="urn:microsoft.com/office/officeart/2005/8/layout/cycle5"/>
    <dgm:cxn modelId="{F5D36D99-1734-4632-B85A-CD20690BF53C}" type="presParOf" srcId="{1EFE7AE5-8BE9-8A49-A77F-51CB80BDD000}" destId="{AA18283D-7201-3148-9397-4F26F7EA0223}" srcOrd="4" destOrd="0" presId="urn:microsoft.com/office/officeart/2005/8/layout/cycle5"/>
    <dgm:cxn modelId="{31E2071D-9128-421F-A061-9EF89112A215}" type="presParOf" srcId="{1EFE7AE5-8BE9-8A49-A77F-51CB80BDD000}" destId="{48D55A32-54CB-FA4D-BAC2-7D9390CFDB56}" srcOrd="5" destOrd="0" presId="urn:microsoft.com/office/officeart/2005/8/layout/cycle5"/>
    <dgm:cxn modelId="{627FD0DA-278F-4B29-BAB4-353EF8DF4C9D}" type="presParOf" srcId="{1EFE7AE5-8BE9-8A49-A77F-51CB80BDD000}" destId="{EA9992CF-046B-3B47-97EE-57B76AD3821B}" srcOrd="6" destOrd="0" presId="urn:microsoft.com/office/officeart/2005/8/layout/cycle5"/>
    <dgm:cxn modelId="{36005531-E074-4E73-AC50-A3F1FD343139}" type="presParOf" srcId="{1EFE7AE5-8BE9-8A49-A77F-51CB80BDD000}" destId="{D855DEE5-3564-1744-A857-4A91210C8D55}" srcOrd="7" destOrd="0" presId="urn:microsoft.com/office/officeart/2005/8/layout/cycle5"/>
    <dgm:cxn modelId="{EBF8133C-FDBA-4228-A6A1-5BCAD3EB105F}" type="presParOf" srcId="{1EFE7AE5-8BE9-8A49-A77F-51CB80BDD000}" destId="{D4EFCD9F-F2FE-3047-A1F1-1733F8EBC9C2}" srcOrd="8" destOrd="0" presId="urn:microsoft.com/office/officeart/2005/8/layout/cycle5"/>
    <dgm:cxn modelId="{945B4818-BA5B-4AD0-828D-A84F91873868}" type="presParOf" srcId="{1EFE7AE5-8BE9-8A49-A77F-51CB80BDD000}" destId="{DDB31B5F-0D8C-BF4E-933E-B22D66FAE18A}" srcOrd="9" destOrd="0" presId="urn:microsoft.com/office/officeart/2005/8/layout/cycle5"/>
    <dgm:cxn modelId="{C2ED750A-D04F-46C4-BFB5-0FAB0373F3CE}" type="presParOf" srcId="{1EFE7AE5-8BE9-8A49-A77F-51CB80BDD000}" destId="{3DCD62AF-3404-8444-B8B6-F151DCCB84B2}" srcOrd="10" destOrd="0" presId="urn:microsoft.com/office/officeart/2005/8/layout/cycle5"/>
    <dgm:cxn modelId="{2800A592-702B-4034-9154-10086360054F}" type="presParOf" srcId="{1EFE7AE5-8BE9-8A49-A77F-51CB80BDD000}" destId="{26FFC350-A0B6-3945-9AB5-9AB9FD81E039}" srcOrd="11" destOrd="0" presId="urn:microsoft.com/office/officeart/2005/8/layout/cycle5"/>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97A912A-3AFC-6C40-9144-B05A2ED1D319}" type="doc">
      <dgm:prSet loTypeId="urn:microsoft.com/office/officeart/2005/8/layout/cycle5" loCatId="" qsTypeId="urn:microsoft.com/office/officeart/2005/8/quickstyle/simple4" qsCatId="simple" csTypeId="urn:microsoft.com/office/officeart/2005/8/colors/accent3_2" csCatId="accent3" phldr="1"/>
      <dgm:spPr/>
      <dgm:t>
        <a:bodyPr/>
        <a:lstStyle/>
        <a:p>
          <a:endParaRPr lang="es-ES"/>
        </a:p>
      </dgm:t>
    </dgm:pt>
    <dgm:pt modelId="{60B61F27-C14B-FC49-96BD-81DD9158F72F}">
      <dgm:prSet phldrT="[Texto]"/>
      <dgm:spPr>
        <a:xfrm>
          <a:off x="1915388" y="913"/>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Fomento y desarrollo empresarial</a:t>
          </a:r>
        </a:p>
      </dgm:t>
    </dgm:pt>
    <dgm:pt modelId="{F65A606D-1BAB-DC44-AF56-564169386FFB}" type="parTrans" cxnId="{A2A73B17-B62D-F248-8997-53E5242C04E3}">
      <dgm:prSet/>
      <dgm:spPr/>
      <dgm:t>
        <a:bodyPr/>
        <a:lstStyle/>
        <a:p>
          <a:endParaRPr lang="es-ES"/>
        </a:p>
      </dgm:t>
    </dgm:pt>
    <dgm:pt modelId="{51DCC7A3-3988-5143-9864-DCC4F63175D4}" type="sibTrans" cxnId="{A2A73B17-B62D-F248-8997-53E5242C04E3}">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76CA22D8-6B6E-AF4B-A645-A9846B70A90E}">
      <dgm:prSet phldrT="[Texto]"/>
      <dgm:spPr>
        <a:xfrm>
          <a:off x="2783096" y="868621"/>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Inversión</a:t>
          </a:r>
        </a:p>
      </dgm:t>
    </dgm:pt>
    <dgm:pt modelId="{9281E44D-AC25-5647-A2D8-5120AA422D81}" type="parTrans" cxnId="{B4A303A1-7CFF-734E-9DAF-956F8DBEFD6E}">
      <dgm:prSet/>
      <dgm:spPr/>
      <dgm:t>
        <a:bodyPr/>
        <a:lstStyle/>
        <a:p>
          <a:endParaRPr lang="es-ES"/>
        </a:p>
      </dgm:t>
    </dgm:pt>
    <dgm:pt modelId="{E37ADAC4-5F12-9648-88D2-463D9931D8FB}" type="sibTrans" cxnId="{B4A303A1-7CFF-734E-9DAF-956F8DBEFD6E}">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0134E2BC-E812-2745-ADA5-E09E1D7762A1}">
      <dgm:prSet phldrT="[Texto]"/>
      <dgm:spPr>
        <a:xfrm>
          <a:off x="1915388" y="1736330"/>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Turismo</a:t>
          </a:r>
        </a:p>
      </dgm:t>
    </dgm:pt>
    <dgm:pt modelId="{EFEC15AE-EFF4-7A47-A659-7A7AE12D77D9}" type="parTrans" cxnId="{2BFFBFAA-EDA7-5047-B2E4-83D6F16CAB59}">
      <dgm:prSet/>
      <dgm:spPr/>
      <dgm:t>
        <a:bodyPr/>
        <a:lstStyle/>
        <a:p>
          <a:endParaRPr lang="es-ES"/>
        </a:p>
      </dgm:t>
    </dgm:pt>
    <dgm:pt modelId="{AC1E27A9-AA6B-774B-93BF-21211EB8BFA3}" type="sibTrans" cxnId="{2BFFBFAA-EDA7-5047-B2E4-83D6F16CAB59}">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E69D1787-2882-FD42-9ADA-9EC273C5E7D4}">
      <dgm:prSet phldrT="[Texto]"/>
      <dgm:spPr>
        <a:xfrm>
          <a:off x="1047680" y="868621"/>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Empleo incluyente</a:t>
          </a:r>
        </a:p>
      </dgm:t>
    </dgm:pt>
    <dgm:pt modelId="{8B5EFF94-3AE6-E349-93C7-D5C0B5BFE87B}" type="parTrans" cxnId="{252A04A9-382A-9442-84F8-D0A300DAA535}">
      <dgm:prSet/>
      <dgm:spPr/>
      <dgm:t>
        <a:bodyPr/>
        <a:lstStyle/>
        <a:p>
          <a:endParaRPr lang="es-ES"/>
        </a:p>
      </dgm:t>
    </dgm:pt>
    <dgm:pt modelId="{04A35AC7-C36D-2E4A-BE1B-49D47F53829A}" type="sibTrans" cxnId="{252A04A9-382A-9442-84F8-D0A300DAA535}">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1EFE7AE5-8BE9-8A49-A77F-51CB80BDD000}" type="pres">
      <dgm:prSet presAssocID="{197A912A-3AFC-6C40-9144-B05A2ED1D319}" presName="cycle" presStyleCnt="0">
        <dgm:presLayoutVars>
          <dgm:dir/>
          <dgm:resizeHandles val="exact"/>
        </dgm:presLayoutVars>
      </dgm:prSet>
      <dgm:spPr/>
      <dgm:t>
        <a:bodyPr/>
        <a:lstStyle/>
        <a:p>
          <a:endParaRPr lang="es-ES"/>
        </a:p>
      </dgm:t>
    </dgm:pt>
    <dgm:pt modelId="{6F2FCDC9-1D72-5043-BD9D-8879B02FBD13}" type="pres">
      <dgm:prSet presAssocID="{60B61F27-C14B-FC49-96BD-81DD9158F72F}" presName="node" presStyleLbl="node1" presStyleIdx="0" presStyleCnt="4">
        <dgm:presLayoutVars>
          <dgm:bulletEnabled val="1"/>
        </dgm:presLayoutVars>
      </dgm:prSet>
      <dgm:spPr>
        <a:prstGeom prst="roundRect">
          <a:avLst/>
        </a:prstGeom>
      </dgm:spPr>
      <dgm:t>
        <a:bodyPr/>
        <a:lstStyle/>
        <a:p>
          <a:endParaRPr lang="es-ES"/>
        </a:p>
      </dgm:t>
    </dgm:pt>
    <dgm:pt modelId="{AA18283D-7201-3148-9397-4F26F7EA0223}" type="pres">
      <dgm:prSet presAssocID="{60B61F27-C14B-FC49-96BD-81DD9158F72F}" presName="spNode" presStyleCnt="0"/>
      <dgm:spPr/>
      <dgm:t>
        <a:bodyPr/>
        <a:lstStyle/>
        <a:p>
          <a:endParaRPr lang="es-ES"/>
        </a:p>
      </dgm:t>
    </dgm:pt>
    <dgm:pt modelId="{48D55A32-54CB-FA4D-BAC2-7D9390CFDB56}" type="pres">
      <dgm:prSet presAssocID="{51DCC7A3-3988-5143-9864-DCC4F63175D4}" presName="sibTrans" presStyleLbl="sibTrans1D1" presStyleIdx="0" presStyleCnt="4"/>
      <dgm:spPr>
        <a:custGeom>
          <a:avLst/>
          <a:gdLst/>
          <a:ahLst/>
          <a:cxnLst/>
          <a:rect l="0" t="0" r="0" b="0"/>
          <a:pathLst>
            <a:path>
              <a:moveTo>
                <a:pt x="1383491" y="169936"/>
              </a:moveTo>
              <a:arcTo wR="867708" hR="867708" stAng="18388275" swAng="1632071"/>
            </a:path>
          </a:pathLst>
        </a:custGeom>
      </dgm:spPr>
      <dgm:t>
        <a:bodyPr/>
        <a:lstStyle/>
        <a:p>
          <a:endParaRPr lang="es-ES"/>
        </a:p>
      </dgm:t>
    </dgm:pt>
    <dgm:pt modelId="{EA9992CF-046B-3B47-97EE-57B76AD3821B}" type="pres">
      <dgm:prSet presAssocID="{76CA22D8-6B6E-AF4B-A645-A9846B70A90E}" presName="node" presStyleLbl="node1" presStyleIdx="1" presStyleCnt="4">
        <dgm:presLayoutVars>
          <dgm:bulletEnabled val="1"/>
        </dgm:presLayoutVars>
      </dgm:prSet>
      <dgm:spPr>
        <a:prstGeom prst="roundRect">
          <a:avLst/>
        </a:prstGeom>
      </dgm:spPr>
      <dgm:t>
        <a:bodyPr/>
        <a:lstStyle/>
        <a:p>
          <a:endParaRPr lang="es-ES"/>
        </a:p>
      </dgm:t>
    </dgm:pt>
    <dgm:pt modelId="{D855DEE5-3564-1744-A857-4A91210C8D55}" type="pres">
      <dgm:prSet presAssocID="{76CA22D8-6B6E-AF4B-A645-A9846B70A90E}" presName="spNode" presStyleCnt="0"/>
      <dgm:spPr/>
      <dgm:t>
        <a:bodyPr/>
        <a:lstStyle/>
        <a:p>
          <a:endParaRPr lang="es-ES"/>
        </a:p>
      </dgm:t>
    </dgm:pt>
    <dgm:pt modelId="{D4EFCD9F-F2FE-3047-A1F1-1733F8EBC9C2}" type="pres">
      <dgm:prSet presAssocID="{E37ADAC4-5F12-9648-88D2-463D9931D8FB}" presName="sibTrans" presStyleLbl="sibTrans1D1" presStyleIdx="1" presStyleCnt="4"/>
      <dgm:spPr>
        <a:custGeom>
          <a:avLst/>
          <a:gdLst/>
          <a:ahLst/>
          <a:cxnLst/>
          <a:rect l="0" t="0" r="0" b="0"/>
          <a:pathLst>
            <a:path>
              <a:moveTo>
                <a:pt x="1645412" y="1252539"/>
              </a:moveTo>
              <a:arcTo wR="867708" hR="867708" stAng="1579654" swAng="1632071"/>
            </a:path>
          </a:pathLst>
        </a:custGeom>
      </dgm:spPr>
      <dgm:t>
        <a:bodyPr/>
        <a:lstStyle/>
        <a:p>
          <a:endParaRPr lang="es-ES"/>
        </a:p>
      </dgm:t>
    </dgm:pt>
    <dgm:pt modelId="{41026D03-FE6B-2945-89E0-5DF842676E85}" type="pres">
      <dgm:prSet presAssocID="{0134E2BC-E812-2745-ADA5-E09E1D7762A1}" presName="node" presStyleLbl="node1" presStyleIdx="2" presStyleCnt="4">
        <dgm:presLayoutVars>
          <dgm:bulletEnabled val="1"/>
        </dgm:presLayoutVars>
      </dgm:prSet>
      <dgm:spPr>
        <a:prstGeom prst="roundRect">
          <a:avLst/>
        </a:prstGeom>
      </dgm:spPr>
      <dgm:t>
        <a:bodyPr/>
        <a:lstStyle/>
        <a:p>
          <a:endParaRPr lang="es-ES"/>
        </a:p>
      </dgm:t>
    </dgm:pt>
    <dgm:pt modelId="{197299C7-9C71-E347-B78B-F8A5FBF07136}" type="pres">
      <dgm:prSet presAssocID="{0134E2BC-E812-2745-ADA5-E09E1D7762A1}" presName="spNode" presStyleCnt="0"/>
      <dgm:spPr/>
      <dgm:t>
        <a:bodyPr/>
        <a:lstStyle/>
        <a:p>
          <a:endParaRPr lang="es-ES"/>
        </a:p>
      </dgm:t>
    </dgm:pt>
    <dgm:pt modelId="{CC0BA1D7-A919-A74A-A8BD-2A04A5C1E5B0}" type="pres">
      <dgm:prSet presAssocID="{AC1E27A9-AA6B-774B-93BF-21211EB8BFA3}" presName="sibTrans" presStyleLbl="sibTrans1D1" presStyleIdx="2" presStyleCnt="4"/>
      <dgm:spPr>
        <a:custGeom>
          <a:avLst/>
          <a:gdLst/>
          <a:ahLst/>
          <a:cxnLst/>
          <a:rect l="0" t="0" r="0" b="0"/>
          <a:pathLst>
            <a:path>
              <a:moveTo>
                <a:pt x="351925" y="1565480"/>
              </a:moveTo>
              <a:arcTo wR="867708" hR="867708" stAng="7588275" swAng="1632071"/>
            </a:path>
          </a:pathLst>
        </a:custGeom>
      </dgm:spPr>
      <dgm:t>
        <a:bodyPr/>
        <a:lstStyle/>
        <a:p>
          <a:endParaRPr lang="es-ES"/>
        </a:p>
      </dgm:t>
    </dgm:pt>
    <dgm:pt modelId="{4560A6C3-39BC-D348-B57D-FD49BB9D7A7B}" type="pres">
      <dgm:prSet presAssocID="{E69D1787-2882-FD42-9ADA-9EC273C5E7D4}" presName="node" presStyleLbl="node1" presStyleIdx="3" presStyleCnt="4">
        <dgm:presLayoutVars>
          <dgm:bulletEnabled val="1"/>
        </dgm:presLayoutVars>
      </dgm:prSet>
      <dgm:spPr>
        <a:prstGeom prst="roundRect">
          <a:avLst/>
        </a:prstGeom>
      </dgm:spPr>
      <dgm:t>
        <a:bodyPr/>
        <a:lstStyle/>
        <a:p>
          <a:endParaRPr lang="es-ES"/>
        </a:p>
      </dgm:t>
    </dgm:pt>
    <dgm:pt modelId="{DD31548D-281B-3045-A282-E7D2418EE082}" type="pres">
      <dgm:prSet presAssocID="{E69D1787-2882-FD42-9ADA-9EC273C5E7D4}" presName="spNode" presStyleCnt="0"/>
      <dgm:spPr/>
      <dgm:t>
        <a:bodyPr/>
        <a:lstStyle/>
        <a:p>
          <a:endParaRPr lang="es-ES"/>
        </a:p>
      </dgm:t>
    </dgm:pt>
    <dgm:pt modelId="{EEECE471-0B25-9744-AA1C-4AC2C9F588E9}" type="pres">
      <dgm:prSet presAssocID="{04A35AC7-C36D-2E4A-BE1B-49D47F53829A}" presName="sibTrans" presStyleLbl="sibTrans1D1" presStyleIdx="3" presStyleCnt="4"/>
      <dgm:spPr>
        <a:custGeom>
          <a:avLst/>
          <a:gdLst/>
          <a:ahLst/>
          <a:cxnLst/>
          <a:rect l="0" t="0" r="0" b="0"/>
          <a:pathLst>
            <a:path>
              <a:moveTo>
                <a:pt x="90004" y="482877"/>
              </a:moveTo>
              <a:arcTo wR="867708" hR="867708" stAng="12379654" swAng="1632071"/>
            </a:path>
          </a:pathLst>
        </a:custGeom>
      </dgm:spPr>
      <dgm:t>
        <a:bodyPr/>
        <a:lstStyle/>
        <a:p>
          <a:endParaRPr lang="es-ES"/>
        </a:p>
      </dgm:t>
    </dgm:pt>
  </dgm:ptLst>
  <dgm:cxnLst>
    <dgm:cxn modelId="{2DAB32FA-5FA0-42BB-9A85-56C99A0D753A}" type="presOf" srcId="{E37ADAC4-5F12-9648-88D2-463D9931D8FB}" destId="{D4EFCD9F-F2FE-3047-A1F1-1733F8EBC9C2}" srcOrd="0" destOrd="0" presId="urn:microsoft.com/office/officeart/2005/8/layout/cycle5"/>
    <dgm:cxn modelId="{A2A73B17-B62D-F248-8997-53E5242C04E3}" srcId="{197A912A-3AFC-6C40-9144-B05A2ED1D319}" destId="{60B61F27-C14B-FC49-96BD-81DD9158F72F}" srcOrd="0" destOrd="0" parTransId="{F65A606D-1BAB-DC44-AF56-564169386FFB}" sibTransId="{51DCC7A3-3988-5143-9864-DCC4F63175D4}"/>
    <dgm:cxn modelId="{8FD9B0A4-0292-46DE-A987-5ADE7FBCEFCD}" type="presOf" srcId="{51DCC7A3-3988-5143-9864-DCC4F63175D4}" destId="{48D55A32-54CB-FA4D-BAC2-7D9390CFDB56}" srcOrd="0" destOrd="0" presId="urn:microsoft.com/office/officeart/2005/8/layout/cycle5"/>
    <dgm:cxn modelId="{67A107CB-12CA-4BB3-9011-91F4C6524D1F}" type="presOf" srcId="{76CA22D8-6B6E-AF4B-A645-A9846B70A90E}" destId="{EA9992CF-046B-3B47-97EE-57B76AD3821B}" srcOrd="0" destOrd="0" presId="urn:microsoft.com/office/officeart/2005/8/layout/cycle5"/>
    <dgm:cxn modelId="{B4A303A1-7CFF-734E-9DAF-956F8DBEFD6E}" srcId="{197A912A-3AFC-6C40-9144-B05A2ED1D319}" destId="{76CA22D8-6B6E-AF4B-A645-A9846B70A90E}" srcOrd="1" destOrd="0" parTransId="{9281E44D-AC25-5647-A2D8-5120AA422D81}" sibTransId="{E37ADAC4-5F12-9648-88D2-463D9931D8FB}"/>
    <dgm:cxn modelId="{D8EC350A-E8F7-47E4-8D26-65C5CDE9B90B}" type="presOf" srcId="{0134E2BC-E812-2745-ADA5-E09E1D7762A1}" destId="{41026D03-FE6B-2945-89E0-5DF842676E85}" srcOrd="0" destOrd="0" presId="urn:microsoft.com/office/officeart/2005/8/layout/cycle5"/>
    <dgm:cxn modelId="{FB97E37B-B193-4A8C-86AF-76CCAE2F3714}" type="presOf" srcId="{60B61F27-C14B-FC49-96BD-81DD9158F72F}" destId="{6F2FCDC9-1D72-5043-BD9D-8879B02FBD13}" srcOrd="0" destOrd="0" presId="urn:microsoft.com/office/officeart/2005/8/layout/cycle5"/>
    <dgm:cxn modelId="{17D4E325-83E7-44F3-81E0-974EFDD5C560}" type="presOf" srcId="{AC1E27A9-AA6B-774B-93BF-21211EB8BFA3}" destId="{CC0BA1D7-A919-A74A-A8BD-2A04A5C1E5B0}" srcOrd="0" destOrd="0" presId="urn:microsoft.com/office/officeart/2005/8/layout/cycle5"/>
    <dgm:cxn modelId="{F5A13579-4CCD-4F13-B88C-C8BC346C2AA7}" type="presOf" srcId="{E69D1787-2882-FD42-9ADA-9EC273C5E7D4}" destId="{4560A6C3-39BC-D348-B57D-FD49BB9D7A7B}" srcOrd="0" destOrd="0" presId="urn:microsoft.com/office/officeart/2005/8/layout/cycle5"/>
    <dgm:cxn modelId="{252A04A9-382A-9442-84F8-D0A300DAA535}" srcId="{197A912A-3AFC-6C40-9144-B05A2ED1D319}" destId="{E69D1787-2882-FD42-9ADA-9EC273C5E7D4}" srcOrd="3" destOrd="0" parTransId="{8B5EFF94-3AE6-E349-93C7-D5C0B5BFE87B}" sibTransId="{04A35AC7-C36D-2E4A-BE1B-49D47F53829A}"/>
    <dgm:cxn modelId="{2BFFBFAA-EDA7-5047-B2E4-83D6F16CAB59}" srcId="{197A912A-3AFC-6C40-9144-B05A2ED1D319}" destId="{0134E2BC-E812-2745-ADA5-E09E1D7762A1}" srcOrd="2" destOrd="0" parTransId="{EFEC15AE-EFF4-7A47-A659-7A7AE12D77D9}" sibTransId="{AC1E27A9-AA6B-774B-93BF-21211EB8BFA3}"/>
    <dgm:cxn modelId="{9DDC819E-A93B-42CF-8FBF-DCEF8DE7E68D}" type="presOf" srcId="{197A912A-3AFC-6C40-9144-B05A2ED1D319}" destId="{1EFE7AE5-8BE9-8A49-A77F-51CB80BDD000}" srcOrd="0" destOrd="0" presId="urn:microsoft.com/office/officeart/2005/8/layout/cycle5"/>
    <dgm:cxn modelId="{393DA671-EB0D-410F-82C7-99DEB8511B1D}" type="presOf" srcId="{04A35AC7-C36D-2E4A-BE1B-49D47F53829A}" destId="{EEECE471-0B25-9744-AA1C-4AC2C9F588E9}" srcOrd="0" destOrd="0" presId="urn:microsoft.com/office/officeart/2005/8/layout/cycle5"/>
    <dgm:cxn modelId="{A7046382-C468-462C-A02E-79EB379D13B7}" type="presParOf" srcId="{1EFE7AE5-8BE9-8A49-A77F-51CB80BDD000}" destId="{6F2FCDC9-1D72-5043-BD9D-8879B02FBD13}" srcOrd="0" destOrd="0" presId="urn:microsoft.com/office/officeart/2005/8/layout/cycle5"/>
    <dgm:cxn modelId="{41B80500-03D8-4DC3-A265-1E71040835A3}" type="presParOf" srcId="{1EFE7AE5-8BE9-8A49-A77F-51CB80BDD000}" destId="{AA18283D-7201-3148-9397-4F26F7EA0223}" srcOrd="1" destOrd="0" presId="urn:microsoft.com/office/officeart/2005/8/layout/cycle5"/>
    <dgm:cxn modelId="{E64B19FF-340B-441A-A1B9-6F9EA3E0F7EC}" type="presParOf" srcId="{1EFE7AE5-8BE9-8A49-A77F-51CB80BDD000}" destId="{48D55A32-54CB-FA4D-BAC2-7D9390CFDB56}" srcOrd="2" destOrd="0" presId="urn:microsoft.com/office/officeart/2005/8/layout/cycle5"/>
    <dgm:cxn modelId="{CB05823A-6D42-49B6-BAE3-37AB6ABF7CB8}" type="presParOf" srcId="{1EFE7AE5-8BE9-8A49-A77F-51CB80BDD000}" destId="{EA9992CF-046B-3B47-97EE-57B76AD3821B}" srcOrd="3" destOrd="0" presId="urn:microsoft.com/office/officeart/2005/8/layout/cycle5"/>
    <dgm:cxn modelId="{7B584254-EBF2-484C-9A6F-A9B9B14C4478}" type="presParOf" srcId="{1EFE7AE5-8BE9-8A49-A77F-51CB80BDD000}" destId="{D855DEE5-3564-1744-A857-4A91210C8D55}" srcOrd="4" destOrd="0" presId="urn:microsoft.com/office/officeart/2005/8/layout/cycle5"/>
    <dgm:cxn modelId="{FF0DAB6D-7087-4822-802B-6FEF5B6A8C6F}" type="presParOf" srcId="{1EFE7AE5-8BE9-8A49-A77F-51CB80BDD000}" destId="{D4EFCD9F-F2FE-3047-A1F1-1733F8EBC9C2}" srcOrd="5" destOrd="0" presId="urn:microsoft.com/office/officeart/2005/8/layout/cycle5"/>
    <dgm:cxn modelId="{DD8D4862-FE58-490F-9AA9-B986EFC5D24F}" type="presParOf" srcId="{1EFE7AE5-8BE9-8A49-A77F-51CB80BDD000}" destId="{41026D03-FE6B-2945-89E0-5DF842676E85}" srcOrd="6" destOrd="0" presId="urn:microsoft.com/office/officeart/2005/8/layout/cycle5"/>
    <dgm:cxn modelId="{98471C37-7F95-4DB2-9820-C984AD62AD4B}" type="presParOf" srcId="{1EFE7AE5-8BE9-8A49-A77F-51CB80BDD000}" destId="{197299C7-9C71-E347-B78B-F8A5FBF07136}" srcOrd="7" destOrd="0" presId="urn:microsoft.com/office/officeart/2005/8/layout/cycle5"/>
    <dgm:cxn modelId="{4DC1332C-43D4-4E82-883D-9C9985F62CC3}" type="presParOf" srcId="{1EFE7AE5-8BE9-8A49-A77F-51CB80BDD000}" destId="{CC0BA1D7-A919-A74A-A8BD-2A04A5C1E5B0}" srcOrd="8" destOrd="0" presId="urn:microsoft.com/office/officeart/2005/8/layout/cycle5"/>
    <dgm:cxn modelId="{27C3431B-9FD6-4152-BE85-A00B7F81C339}" type="presParOf" srcId="{1EFE7AE5-8BE9-8A49-A77F-51CB80BDD000}" destId="{4560A6C3-39BC-D348-B57D-FD49BB9D7A7B}" srcOrd="9" destOrd="0" presId="urn:microsoft.com/office/officeart/2005/8/layout/cycle5"/>
    <dgm:cxn modelId="{4B7C8C99-919F-490A-AD22-24383FF7E117}" type="presParOf" srcId="{1EFE7AE5-8BE9-8A49-A77F-51CB80BDD000}" destId="{DD31548D-281B-3045-A282-E7D2418EE082}" srcOrd="10" destOrd="0" presId="urn:microsoft.com/office/officeart/2005/8/layout/cycle5"/>
    <dgm:cxn modelId="{D40A7F92-FF30-453D-BF64-A2F50A24DC0E}" type="presParOf" srcId="{1EFE7AE5-8BE9-8A49-A77F-51CB80BDD000}" destId="{EEECE471-0B25-9744-AA1C-4AC2C9F588E9}" srcOrd="11" destOrd="0" presId="urn:microsoft.com/office/officeart/2005/8/layout/cycle5"/>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7CE8CE-46EF-CC44-B2C3-5B76F02B8F3E}">
      <dsp:nvSpPr>
        <dsp:cNvPr id="0" name=""/>
        <dsp:cNvSpPr/>
      </dsp:nvSpPr>
      <dsp:spPr>
        <a:xfrm>
          <a:off x="384021" y="407113"/>
          <a:ext cx="3067991" cy="3067991"/>
        </a:xfrm>
        <a:prstGeom prst="circularArrow">
          <a:avLst>
            <a:gd name="adj1" fmla="val 5544"/>
            <a:gd name="adj2" fmla="val 330680"/>
            <a:gd name="adj3" fmla="val 13919449"/>
            <a:gd name="adj4" fmla="val 17299222"/>
            <a:gd name="adj5" fmla="val 5757"/>
          </a:avLst>
        </a:prstGeom>
        <a:solidFill>
          <a:srgbClr val="C0504D">
            <a:tint val="40000"/>
            <a:hueOff val="0"/>
            <a:satOff val="0"/>
            <a:lumOff val="0"/>
            <a:alphaOff val="0"/>
          </a:srgb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761560A2-1F84-E144-9F40-2BC95FF13A1B}">
      <dsp:nvSpPr>
        <dsp:cNvPr id="0" name=""/>
        <dsp:cNvSpPr/>
      </dsp:nvSpPr>
      <dsp:spPr>
        <a:xfrm>
          <a:off x="1244651" y="422084"/>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 Desarrollo Institucional</a:t>
          </a:r>
          <a:endParaRPr lang="es-ES_tradnl" sz="1200" kern="1200" dirty="0">
            <a:solidFill>
              <a:sysClr val="window" lastClr="FFFFFF"/>
            </a:solidFill>
            <a:latin typeface="Cambria"/>
            <a:ea typeface="+mn-ea"/>
            <a:cs typeface="+mn-cs"/>
          </a:endParaRPr>
        </a:p>
      </dsp:txBody>
      <dsp:txXfrm>
        <a:off x="1277522" y="454955"/>
        <a:ext cx="1280990" cy="607624"/>
      </dsp:txXfrm>
    </dsp:sp>
    <dsp:sp modelId="{A765A813-EB8B-C741-9B38-B57E1272CA25}">
      <dsp:nvSpPr>
        <dsp:cNvPr id="0" name=""/>
        <dsp:cNvSpPr/>
      </dsp:nvSpPr>
      <dsp:spPr>
        <a:xfrm>
          <a:off x="2488929" y="1326106"/>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II. Desarrollo </a:t>
          </a:r>
          <a:r>
            <a:rPr lang="es-ES_tradnl" sz="1200" b="1" kern="1200" dirty="0" err="1" smtClean="0">
              <a:solidFill>
                <a:sysClr val="window" lastClr="FFFFFF"/>
              </a:solidFill>
              <a:latin typeface="Cambria"/>
              <a:ea typeface="+mn-ea"/>
              <a:cs typeface="+mn-cs"/>
            </a:rPr>
            <a:t>Económico</a:t>
          </a:r>
          <a:endParaRPr lang="es-ES_tradnl" sz="1200" kern="1200" dirty="0">
            <a:solidFill>
              <a:sysClr val="window" lastClr="FFFFFF"/>
            </a:solidFill>
            <a:latin typeface="Cambria"/>
            <a:ea typeface="+mn-ea"/>
            <a:cs typeface="+mn-cs"/>
          </a:endParaRPr>
        </a:p>
      </dsp:txBody>
      <dsp:txXfrm>
        <a:off x="2521800" y="1358977"/>
        <a:ext cx="1280990" cy="607624"/>
      </dsp:txXfrm>
    </dsp:sp>
    <dsp:sp modelId="{7AD9116F-F1EA-9A48-B11A-78CFC7E515BD}">
      <dsp:nvSpPr>
        <dsp:cNvPr id="0" name=""/>
        <dsp:cNvSpPr/>
      </dsp:nvSpPr>
      <dsp:spPr>
        <a:xfrm>
          <a:off x="2013657" y="2788843"/>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III. Desarrollo Social:</a:t>
          </a:r>
          <a:endParaRPr lang="es-ES_tradnl" sz="1200" kern="1200" dirty="0">
            <a:solidFill>
              <a:sysClr val="window" lastClr="FFFFFF"/>
            </a:solidFill>
            <a:latin typeface="Cambria"/>
            <a:ea typeface="+mn-ea"/>
            <a:cs typeface="+mn-cs"/>
          </a:endParaRPr>
        </a:p>
      </dsp:txBody>
      <dsp:txXfrm>
        <a:off x="2046528" y="2821714"/>
        <a:ext cx="1280990" cy="607624"/>
      </dsp:txXfrm>
    </dsp:sp>
    <dsp:sp modelId="{A36DFE74-75A3-4F45-AFAE-FEE140692112}">
      <dsp:nvSpPr>
        <dsp:cNvPr id="0" name=""/>
        <dsp:cNvSpPr/>
      </dsp:nvSpPr>
      <dsp:spPr>
        <a:xfrm>
          <a:off x="475644" y="2788843"/>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IV. Desarrollo Ambiental Sustentable:</a:t>
          </a:r>
          <a:endParaRPr lang="es-ES_tradnl" sz="1200" kern="1200" dirty="0">
            <a:solidFill>
              <a:sysClr val="window" lastClr="FFFFFF"/>
            </a:solidFill>
            <a:latin typeface="Cambria"/>
            <a:ea typeface="+mn-ea"/>
            <a:cs typeface="+mn-cs"/>
          </a:endParaRPr>
        </a:p>
      </dsp:txBody>
      <dsp:txXfrm>
        <a:off x="508515" y="2821714"/>
        <a:ext cx="1280990" cy="607624"/>
      </dsp:txXfrm>
    </dsp:sp>
    <dsp:sp modelId="{6CDCAD7C-42FD-754A-9F89-BCF2547A12F3}">
      <dsp:nvSpPr>
        <dsp:cNvPr id="0" name=""/>
        <dsp:cNvSpPr/>
      </dsp:nvSpPr>
      <dsp:spPr>
        <a:xfrm>
          <a:off x="372" y="1326106"/>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V. Obras </a:t>
          </a:r>
          <a:r>
            <a:rPr lang="es-ES_tradnl" sz="1200" b="1" kern="1200" dirty="0" err="1" smtClean="0">
              <a:solidFill>
                <a:sysClr val="window" lastClr="FFFFFF"/>
              </a:solidFill>
              <a:latin typeface="Cambria"/>
              <a:ea typeface="+mn-ea"/>
              <a:cs typeface="+mn-cs"/>
            </a:rPr>
            <a:t>Públicas</a:t>
          </a:r>
          <a:r>
            <a:rPr lang="es-ES_tradnl" sz="1200" b="1" kern="1200" dirty="0" smtClean="0">
              <a:solidFill>
                <a:sysClr val="window" lastClr="FFFFFF"/>
              </a:solidFill>
              <a:latin typeface="Cambria"/>
              <a:ea typeface="+mn-ea"/>
              <a:cs typeface="+mn-cs"/>
            </a:rPr>
            <a:t> Proyectadas</a:t>
          </a:r>
          <a:endParaRPr lang="es-ES_tradnl" sz="1200" kern="1200" dirty="0">
            <a:solidFill>
              <a:sysClr val="window" lastClr="FFFFFF"/>
            </a:solidFill>
            <a:latin typeface="Cambria"/>
            <a:ea typeface="+mn-ea"/>
            <a:cs typeface="+mn-cs"/>
          </a:endParaRPr>
        </a:p>
      </dsp:txBody>
      <dsp:txXfrm>
        <a:off x="33243" y="1358977"/>
        <a:ext cx="1280990" cy="6076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F12BAC-4104-0545-9A9F-32C8D7CCF5DE}">
      <dsp:nvSpPr>
        <dsp:cNvPr id="0" name=""/>
        <dsp:cNvSpPr/>
      </dsp:nvSpPr>
      <dsp:spPr>
        <a:xfrm>
          <a:off x="1956362" y="1094"/>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Administración pública eficiente</a:t>
          </a:r>
        </a:p>
      </dsp:txBody>
      <dsp:txXfrm>
        <a:off x="1984555" y="29287"/>
        <a:ext cx="832123" cy="521145"/>
      </dsp:txXfrm>
    </dsp:sp>
    <dsp:sp modelId="{FFD2F1B7-C1C7-DF45-A274-5EECF4C1481A}">
      <dsp:nvSpPr>
        <dsp:cNvPr id="0" name=""/>
        <dsp:cNvSpPr/>
      </dsp:nvSpPr>
      <dsp:spPr>
        <a:xfrm>
          <a:off x="1446829" y="289859"/>
          <a:ext cx="1907575" cy="1907575"/>
        </a:xfrm>
        <a:custGeom>
          <a:avLst/>
          <a:gdLst/>
          <a:ahLst/>
          <a:cxnLst/>
          <a:rect l="0" t="0" r="0" b="0"/>
          <a:pathLst>
            <a:path>
              <a:moveTo>
                <a:pt x="1520588" y="186684"/>
              </a:moveTo>
              <a:arcTo wR="953787" hR="953787" stAng="18387609"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0C14005F-87E2-8042-9619-0FDBEEC0029F}">
      <dsp:nvSpPr>
        <dsp:cNvPr id="0" name=""/>
        <dsp:cNvSpPr/>
      </dsp:nvSpPr>
      <dsp:spPr>
        <a:xfrm>
          <a:off x="2910150" y="954881"/>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Simplificación administrativa</a:t>
          </a:r>
        </a:p>
      </dsp:txBody>
      <dsp:txXfrm>
        <a:off x="2938343" y="983074"/>
        <a:ext cx="832123" cy="521145"/>
      </dsp:txXfrm>
    </dsp:sp>
    <dsp:sp modelId="{4CF45A00-3F7D-2040-8E8E-9A6EDAFEAC69}">
      <dsp:nvSpPr>
        <dsp:cNvPr id="0" name=""/>
        <dsp:cNvSpPr/>
      </dsp:nvSpPr>
      <dsp:spPr>
        <a:xfrm>
          <a:off x="1446829" y="289859"/>
          <a:ext cx="1907575" cy="1907575"/>
        </a:xfrm>
        <a:custGeom>
          <a:avLst/>
          <a:gdLst/>
          <a:ahLst/>
          <a:cxnLst/>
          <a:rect l="0" t="0" r="0" b="0"/>
          <a:pathLst>
            <a:path>
              <a:moveTo>
                <a:pt x="1808677" y="1376722"/>
              </a:moveTo>
              <a:arcTo wR="953787" hR="953787" stAng="1579363"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73A7F45E-6D8C-0147-89A4-F27F71D2821F}">
      <dsp:nvSpPr>
        <dsp:cNvPr id="0" name=""/>
        <dsp:cNvSpPr/>
      </dsp:nvSpPr>
      <dsp:spPr>
        <a:xfrm>
          <a:off x="1956362" y="1908669"/>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Atención ciudadana</a:t>
          </a:r>
        </a:p>
      </dsp:txBody>
      <dsp:txXfrm>
        <a:off x="1984555" y="1936862"/>
        <a:ext cx="832123" cy="521145"/>
      </dsp:txXfrm>
    </dsp:sp>
    <dsp:sp modelId="{6C85DF02-B4D1-8444-B844-FF473667689C}">
      <dsp:nvSpPr>
        <dsp:cNvPr id="0" name=""/>
        <dsp:cNvSpPr/>
      </dsp:nvSpPr>
      <dsp:spPr>
        <a:xfrm>
          <a:off x="1446829" y="289859"/>
          <a:ext cx="1907575" cy="1907575"/>
        </a:xfrm>
        <a:custGeom>
          <a:avLst/>
          <a:gdLst/>
          <a:ahLst/>
          <a:cxnLst/>
          <a:rect l="0" t="0" r="0" b="0"/>
          <a:pathLst>
            <a:path>
              <a:moveTo>
                <a:pt x="386986" y="1720890"/>
              </a:moveTo>
              <a:arcTo wR="953787" hR="953787" stAng="7587609"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3A034DA7-D999-604F-9124-66BD09B93CF5}">
      <dsp:nvSpPr>
        <dsp:cNvPr id="0" name=""/>
        <dsp:cNvSpPr/>
      </dsp:nvSpPr>
      <dsp:spPr>
        <a:xfrm>
          <a:off x="1002574" y="954881"/>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Gobierno digital</a:t>
          </a:r>
        </a:p>
      </dsp:txBody>
      <dsp:txXfrm>
        <a:off x="1030767" y="983074"/>
        <a:ext cx="832123" cy="521145"/>
      </dsp:txXfrm>
    </dsp:sp>
    <dsp:sp modelId="{91DFE6CD-0A76-3E46-8CD3-8E36347793B2}">
      <dsp:nvSpPr>
        <dsp:cNvPr id="0" name=""/>
        <dsp:cNvSpPr/>
      </dsp:nvSpPr>
      <dsp:spPr>
        <a:xfrm>
          <a:off x="1446829" y="289859"/>
          <a:ext cx="1907575" cy="1907575"/>
        </a:xfrm>
        <a:custGeom>
          <a:avLst/>
          <a:gdLst/>
          <a:ahLst/>
          <a:cxnLst/>
          <a:rect l="0" t="0" r="0" b="0"/>
          <a:pathLst>
            <a:path>
              <a:moveTo>
                <a:pt x="98897" y="530852"/>
              </a:moveTo>
              <a:arcTo wR="953787" hR="953787" stAng="12379363"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9CE015-E0B7-2647-8052-222139DCAFB3}">
      <dsp:nvSpPr>
        <dsp:cNvPr id="0" name=""/>
        <dsp:cNvSpPr/>
      </dsp:nvSpPr>
      <dsp:spPr>
        <a:xfrm>
          <a:off x="1495276" y="682"/>
          <a:ext cx="895647" cy="582170"/>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Participación Ciudadana</a:t>
          </a:r>
        </a:p>
      </dsp:txBody>
      <dsp:txXfrm>
        <a:off x="1523695" y="29101"/>
        <a:ext cx="838809" cy="525332"/>
      </dsp:txXfrm>
    </dsp:sp>
    <dsp:sp modelId="{7E0CA38B-FE07-334F-8754-5DDD78E5725C}">
      <dsp:nvSpPr>
        <dsp:cNvPr id="0" name=""/>
        <dsp:cNvSpPr/>
      </dsp:nvSpPr>
      <dsp:spPr>
        <a:xfrm>
          <a:off x="1166116" y="291768"/>
          <a:ext cx="1553966" cy="1553966"/>
        </a:xfrm>
        <a:custGeom>
          <a:avLst/>
          <a:gdLst/>
          <a:ahLst/>
          <a:cxnLst/>
          <a:rect l="0" t="0" r="0" b="0"/>
          <a:pathLst>
            <a:path>
              <a:moveTo>
                <a:pt x="1345233" y="247082"/>
              </a:moveTo>
              <a:arcTo wR="776983" hR="776983" stAng="19020003" swAng="2303808"/>
            </a:path>
          </a:pathLst>
        </a:custGeom>
        <a:noFill/>
        <a:ln w="9525" cap="flat" cmpd="sng" algn="ctr">
          <a:solidFill>
            <a:srgbClr val="C0504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1FA95FB6-30AD-7546-B31B-C8141554DA30}">
      <dsp:nvSpPr>
        <dsp:cNvPr id="0" name=""/>
        <dsp:cNvSpPr/>
      </dsp:nvSpPr>
      <dsp:spPr>
        <a:xfrm>
          <a:off x="2168163" y="1166157"/>
          <a:ext cx="895647" cy="582170"/>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Transparencia</a:t>
          </a:r>
        </a:p>
      </dsp:txBody>
      <dsp:txXfrm>
        <a:off x="2196582" y="1194576"/>
        <a:ext cx="838809" cy="525332"/>
      </dsp:txXfrm>
    </dsp:sp>
    <dsp:sp modelId="{3D7216B6-8A76-964C-9039-92DB0C2657A9}">
      <dsp:nvSpPr>
        <dsp:cNvPr id="0" name=""/>
        <dsp:cNvSpPr/>
      </dsp:nvSpPr>
      <dsp:spPr>
        <a:xfrm>
          <a:off x="1166116" y="291768"/>
          <a:ext cx="1553966" cy="1553966"/>
        </a:xfrm>
        <a:custGeom>
          <a:avLst/>
          <a:gdLst/>
          <a:ahLst/>
          <a:cxnLst/>
          <a:rect l="0" t="0" r="0" b="0"/>
          <a:pathLst>
            <a:path>
              <a:moveTo>
                <a:pt x="1015636" y="1516407"/>
              </a:moveTo>
              <a:arcTo wR="776983" hR="776983" stAng="4326734" swAng="2146532"/>
            </a:path>
          </a:pathLst>
        </a:custGeom>
        <a:noFill/>
        <a:ln w="9525" cap="flat" cmpd="sng" algn="ctr">
          <a:solidFill>
            <a:srgbClr val="C0504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5F65AEA9-51CB-B842-8B89-B6596A6C7348}">
      <dsp:nvSpPr>
        <dsp:cNvPr id="0" name=""/>
        <dsp:cNvSpPr/>
      </dsp:nvSpPr>
      <dsp:spPr>
        <a:xfrm>
          <a:off x="822388" y="1166157"/>
          <a:ext cx="895647" cy="582170"/>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Rendición de cuentas</a:t>
          </a:r>
        </a:p>
      </dsp:txBody>
      <dsp:txXfrm>
        <a:off x="850807" y="1194576"/>
        <a:ext cx="838809" cy="525332"/>
      </dsp:txXfrm>
    </dsp:sp>
    <dsp:sp modelId="{E77416EA-C551-7948-A71C-87894518E226}">
      <dsp:nvSpPr>
        <dsp:cNvPr id="0" name=""/>
        <dsp:cNvSpPr/>
      </dsp:nvSpPr>
      <dsp:spPr>
        <a:xfrm>
          <a:off x="1166116" y="291768"/>
          <a:ext cx="1553966" cy="1553966"/>
        </a:xfrm>
        <a:custGeom>
          <a:avLst/>
          <a:gdLst/>
          <a:ahLst/>
          <a:cxnLst/>
          <a:rect l="0" t="0" r="0" b="0"/>
          <a:pathLst>
            <a:path>
              <a:moveTo>
                <a:pt x="2506" y="714627"/>
              </a:moveTo>
              <a:arcTo wR="776983" hR="776983" stAng="11076189" swAng="2303808"/>
            </a:path>
          </a:pathLst>
        </a:custGeom>
        <a:noFill/>
        <a:ln w="9525" cap="flat" cmpd="sng" algn="ctr">
          <a:solidFill>
            <a:srgbClr val="C0504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B02205-6A94-054F-83D9-F8D05FE9999E}">
      <dsp:nvSpPr>
        <dsp:cNvPr id="0" name=""/>
        <dsp:cNvSpPr/>
      </dsp:nvSpPr>
      <dsp:spPr>
        <a:xfrm>
          <a:off x="464187" y="413711"/>
          <a:ext cx="1189865" cy="773412"/>
        </a:xfrm>
        <a:prstGeom prst="roundRect">
          <a:avLst/>
        </a:prstGeo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solidFill>
                <a:sysClr val="window" lastClr="FFFFFF"/>
              </a:solidFill>
              <a:latin typeface="Cambria"/>
              <a:ea typeface="+mn-ea"/>
              <a:cs typeface="+mn-cs"/>
            </a:rPr>
            <a:t>Promoción de Derechos Humanos</a:t>
          </a:r>
        </a:p>
      </dsp:txBody>
      <dsp:txXfrm>
        <a:off x="501942" y="451466"/>
        <a:ext cx="1114355" cy="697902"/>
      </dsp:txXfrm>
    </dsp:sp>
    <dsp:sp modelId="{B107CC74-8B66-1243-A9DC-9522DB25A3F7}">
      <dsp:nvSpPr>
        <dsp:cNvPr id="0" name=""/>
        <dsp:cNvSpPr/>
      </dsp:nvSpPr>
      <dsp:spPr>
        <a:xfrm>
          <a:off x="1059120" y="143450"/>
          <a:ext cx="1313933" cy="1313933"/>
        </a:xfrm>
        <a:custGeom>
          <a:avLst/>
          <a:gdLst/>
          <a:ahLst/>
          <a:cxnLst/>
          <a:rect l="0" t="0" r="0" b="0"/>
          <a:pathLst>
            <a:path>
              <a:moveTo>
                <a:pt x="276274" y="121543"/>
              </a:moveTo>
              <a:arcTo wR="656966" hR="656966" stAng="14075203" swAng="4249593"/>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1A937E3B-93BD-764A-B276-DDC79A13CA01}">
      <dsp:nvSpPr>
        <dsp:cNvPr id="0" name=""/>
        <dsp:cNvSpPr/>
      </dsp:nvSpPr>
      <dsp:spPr>
        <a:xfrm>
          <a:off x="1778121" y="413711"/>
          <a:ext cx="1189865" cy="773412"/>
        </a:xfrm>
        <a:prstGeom prst="roundRect">
          <a:avLst/>
        </a:prstGeo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solidFill>
                <a:sysClr val="window" lastClr="FFFFFF"/>
              </a:solidFill>
              <a:latin typeface="Cambria"/>
              <a:ea typeface="+mn-ea"/>
              <a:cs typeface="+mn-cs"/>
            </a:rPr>
            <a:t>Inclusión social</a:t>
          </a:r>
        </a:p>
      </dsp:txBody>
      <dsp:txXfrm>
        <a:off x="1815876" y="451466"/>
        <a:ext cx="1114355" cy="697902"/>
      </dsp:txXfrm>
    </dsp:sp>
    <dsp:sp modelId="{DA9F2141-47F2-D14E-BF30-63606B36331D}">
      <dsp:nvSpPr>
        <dsp:cNvPr id="0" name=""/>
        <dsp:cNvSpPr/>
      </dsp:nvSpPr>
      <dsp:spPr>
        <a:xfrm>
          <a:off x="1059120" y="143450"/>
          <a:ext cx="1313933" cy="1313933"/>
        </a:xfrm>
        <a:custGeom>
          <a:avLst/>
          <a:gdLst/>
          <a:ahLst/>
          <a:cxnLst/>
          <a:rect l="0" t="0" r="0" b="0"/>
          <a:pathLst>
            <a:path>
              <a:moveTo>
                <a:pt x="1037659" y="1192390"/>
              </a:moveTo>
              <a:arcTo wR="656966" hR="656966" stAng="3275203" swAng="4249593"/>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2FCDC9-1D72-5043-BD9D-8879B02FBD13}">
      <dsp:nvSpPr>
        <dsp:cNvPr id="0" name=""/>
        <dsp:cNvSpPr/>
      </dsp:nvSpPr>
      <dsp:spPr>
        <a:xfrm>
          <a:off x="1948236" y="35"/>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Prevención social del delito</a:t>
          </a:r>
        </a:p>
      </dsp:txBody>
      <dsp:txXfrm>
        <a:off x="1971813" y="23612"/>
        <a:ext cx="695894" cy="435827"/>
      </dsp:txXfrm>
    </dsp:sp>
    <dsp:sp modelId="{48D55A32-54CB-FA4D-BAC2-7D9390CFDB56}">
      <dsp:nvSpPr>
        <dsp:cNvPr id="0" name=""/>
        <dsp:cNvSpPr/>
      </dsp:nvSpPr>
      <dsp:spPr>
        <a:xfrm>
          <a:off x="1353661" y="241526"/>
          <a:ext cx="1932199" cy="1932199"/>
        </a:xfrm>
        <a:custGeom>
          <a:avLst/>
          <a:gdLst/>
          <a:ahLst/>
          <a:cxnLst/>
          <a:rect l="0" t="0" r="0" b="0"/>
          <a:pathLst>
            <a:path>
              <a:moveTo>
                <a:pt x="1437449" y="122785"/>
              </a:moveTo>
              <a:arcTo wR="966099" hR="966099" stAng="17952117" swAng="1213632"/>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A9992CF-046B-3B47-97EE-57B76AD3821B}">
      <dsp:nvSpPr>
        <dsp:cNvPr id="0" name=""/>
        <dsp:cNvSpPr/>
      </dsp:nvSpPr>
      <dsp:spPr>
        <a:xfrm>
          <a:off x="2867052" y="667594"/>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Policía de proximidad</a:t>
          </a:r>
        </a:p>
      </dsp:txBody>
      <dsp:txXfrm>
        <a:off x="2890629" y="691171"/>
        <a:ext cx="695894" cy="435827"/>
      </dsp:txXfrm>
    </dsp:sp>
    <dsp:sp modelId="{D4EFCD9F-F2FE-3047-A1F1-1733F8EBC9C2}">
      <dsp:nvSpPr>
        <dsp:cNvPr id="0" name=""/>
        <dsp:cNvSpPr/>
      </dsp:nvSpPr>
      <dsp:spPr>
        <a:xfrm>
          <a:off x="1353661" y="241526"/>
          <a:ext cx="1932199" cy="1932199"/>
        </a:xfrm>
        <a:custGeom>
          <a:avLst/>
          <a:gdLst/>
          <a:ahLst/>
          <a:cxnLst/>
          <a:rect l="0" t="0" r="0" b="0"/>
          <a:pathLst>
            <a:path>
              <a:moveTo>
                <a:pt x="1929895" y="1032783"/>
              </a:moveTo>
              <a:arcTo wR="966099" hR="966099" stAng="21837473" swAng="1361346"/>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41026D03-FE6B-2945-89E0-5DF842676E85}">
      <dsp:nvSpPr>
        <dsp:cNvPr id="0" name=""/>
        <dsp:cNvSpPr/>
      </dsp:nvSpPr>
      <dsp:spPr>
        <a:xfrm>
          <a:off x="2516095" y="1747726"/>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Generación de inteligencia</a:t>
          </a:r>
        </a:p>
      </dsp:txBody>
      <dsp:txXfrm>
        <a:off x="2539672" y="1771303"/>
        <a:ext cx="695894" cy="435827"/>
      </dsp:txXfrm>
    </dsp:sp>
    <dsp:sp modelId="{CC0BA1D7-A919-A74A-A8BD-2A04A5C1E5B0}">
      <dsp:nvSpPr>
        <dsp:cNvPr id="0" name=""/>
        <dsp:cNvSpPr/>
      </dsp:nvSpPr>
      <dsp:spPr>
        <a:xfrm>
          <a:off x="1353661" y="241526"/>
          <a:ext cx="1932199" cy="1932199"/>
        </a:xfrm>
        <a:custGeom>
          <a:avLst/>
          <a:gdLst/>
          <a:ahLst/>
          <a:cxnLst/>
          <a:rect l="0" t="0" r="0" b="0"/>
          <a:pathLst>
            <a:path>
              <a:moveTo>
                <a:pt x="1084975" y="1924857"/>
              </a:moveTo>
              <a:arcTo wR="966099" hR="966099" stAng="4975919" swAng="848162"/>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74529EC-94D9-D247-B04E-649F23F55832}">
      <dsp:nvSpPr>
        <dsp:cNvPr id="0" name=""/>
        <dsp:cNvSpPr/>
      </dsp:nvSpPr>
      <dsp:spPr>
        <a:xfrm>
          <a:off x="1380377" y="1747726"/>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Seguridad vial</a:t>
          </a:r>
        </a:p>
      </dsp:txBody>
      <dsp:txXfrm>
        <a:off x="1403954" y="1771303"/>
        <a:ext cx="695894" cy="435827"/>
      </dsp:txXfrm>
    </dsp:sp>
    <dsp:sp modelId="{DD0DB5B7-F84D-9E4C-A4C9-FAF0BD558B77}">
      <dsp:nvSpPr>
        <dsp:cNvPr id="0" name=""/>
        <dsp:cNvSpPr/>
      </dsp:nvSpPr>
      <dsp:spPr>
        <a:xfrm>
          <a:off x="1353661" y="241526"/>
          <a:ext cx="1932199" cy="1932199"/>
        </a:xfrm>
        <a:custGeom>
          <a:avLst/>
          <a:gdLst/>
          <a:ahLst/>
          <a:cxnLst/>
          <a:rect l="0" t="0" r="0" b="0"/>
          <a:pathLst>
            <a:path>
              <a:moveTo>
                <a:pt x="102612" y="1399387"/>
              </a:moveTo>
              <a:arcTo wR="966099" hR="966099" stAng="9201181" swAng="1361346"/>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6ED73A3A-0771-044E-B2E5-86BA952A0DA1}">
      <dsp:nvSpPr>
        <dsp:cNvPr id="0" name=""/>
        <dsp:cNvSpPr/>
      </dsp:nvSpPr>
      <dsp:spPr>
        <a:xfrm>
          <a:off x="1029421" y="667594"/>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Justicia Municipal</a:t>
          </a:r>
        </a:p>
      </dsp:txBody>
      <dsp:txXfrm>
        <a:off x="1052998" y="691171"/>
        <a:ext cx="695894" cy="435827"/>
      </dsp:txXfrm>
    </dsp:sp>
    <dsp:sp modelId="{63782F47-8071-F949-9594-AFA12A869513}">
      <dsp:nvSpPr>
        <dsp:cNvPr id="0" name=""/>
        <dsp:cNvSpPr/>
      </dsp:nvSpPr>
      <dsp:spPr>
        <a:xfrm>
          <a:off x="1353661" y="241526"/>
          <a:ext cx="1932199" cy="1932199"/>
        </a:xfrm>
        <a:custGeom>
          <a:avLst/>
          <a:gdLst/>
          <a:ahLst/>
          <a:cxnLst/>
          <a:rect l="0" t="0" r="0" b="0"/>
          <a:pathLst>
            <a:path>
              <a:moveTo>
                <a:pt x="232248" y="337760"/>
              </a:moveTo>
              <a:arcTo wR="966099" hR="966099" stAng="13234251" swAng="1213632"/>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1491CC-72F3-B744-A952-A86A83D4902D}">
      <dsp:nvSpPr>
        <dsp:cNvPr id="0" name=""/>
        <dsp:cNvSpPr/>
      </dsp:nvSpPr>
      <dsp:spPr>
        <a:xfrm>
          <a:off x="1551265" y="851"/>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Gestión urbana y obra pública</a:t>
          </a:r>
        </a:p>
      </dsp:txBody>
      <dsp:txXfrm>
        <a:off x="1577582" y="27168"/>
        <a:ext cx="776755" cy="486469"/>
      </dsp:txXfrm>
    </dsp:sp>
    <dsp:sp modelId="{5B21CB31-4C3D-3A48-8866-5DBC58380707}">
      <dsp:nvSpPr>
        <dsp:cNvPr id="0" name=""/>
        <dsp:cNvSpPr/>
      </dsp:nvSpPr>
      <dsp:spPr>
        <a:xfrm>
          <a:off x="1075265" y="270403"/>
          <a:ext cx="1781388" cy="1781388"/>
        </a:xfrm>
        <a:custGeom>
          <a:avLst/>
          <a:gdLst/>
          <a:ahLst/>
          <a:cxnLst/>
          <a:rect l="0" t="0" r="0" b="0"/>
          <a:pathLst>
            <a:path>
              <a:moveTo>
                <a:pt x="1419891" y="174253"/>
              </a:moveTo>
              <a:arcTo wR="890694" hR="890694" stAng="18387080"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6F2FCDC9-1D72-5043-BD9D-8879B02FBD13}">
      <dsp:nvSpPr>
        <dsp:cNvPr id="0" name=""/>
        <dsp:cNvSpPr/>
      </dsp:nvSpPr>
      <dsp:spPr>
        <a:xfrm>
          <a:off x="2441959" y="891545"/>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Movilidad Urbana</a:t>
          </a:r>
        </a:p>
      </dsp:txBody>
      <dsp:txXfrm>
        <a:off x="2468276" y="917862"/>
        <a:ext cx="776755" cy="486469"/>
      </dsp:txXfrm>
    </dsp:sp>
    <dsp:sp modelId="{48D55A32-54CB-FA4D-BAC2-7D9390CFDB56}">
      <dsp:nvSpPr>
        <dsp:cNvPr id="0" name=""/>
        <dsp:cNvSpPr/>
      </dsp:nvSpPr>
      <dsp:spPr>
        <a:xfrm>
          <a:off x="1075265" y="270403"/>
          <a:ext cx="1781388" cy="1781388"/>
        </a:xfrm>
        <a:custGeom>
          <a:avLst/>
          <a:gdLst/>
          <a:ahLst/>
          <a:cxnLst/>
          <a:rect l="0" t="0" r="0" b="0"/>
          <a:pathLst>
            <a:path>
              <a:moveTo>
                <a:pt x="1689059" y="1285598"/>
              </a:moveTo>
              <a:arcTo wR="890694" hR="890694" stAng="1579132"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A9992CF-046B-3B47-97EE-57B76AD3821B}">
      <dsp:nvSpPr>
        <dsp:cNvPr id="0" name=""/>
        <dsp:cNvSpPr/>
      </dsp:nvSpPr>
      <dsp:spPr>
        <a:xfrm>
          <a:off x="1551265" y="1782240"/>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Equilibrio ecológico</a:t>
          </a:r>
        </a:p>
      </dsp:txBody>
      <dsp:txXfrm>
        <a:off x="1577582" y="1808557"/>
        <a:ext cx="776755" cy="486469"/>
      </dsp:txXfrm>
    </dsp:sp>
    <dsp:sp modelId="{D4EFCD9F-F2FE-3047-A1F1-1733F8EBC9C2}">
      <dsp:nvSpPr>
        <dsp:cNvPr id="0" name=""/>
        <dsp:cNvSpPr/>
      </dsp:nvSpPr>
      <dsp:spPr>
        <a:xfrm>
          <a:off x="1075265" y="270403"/>
          <a:ext cx="1781388" cy="1781388"/>
        </a:xfrm>
        <a:custGeom>
          <a:avLst/>
          <a:gdLst/>
          <a:ahLst/>
          <a:cxnLst/>
          <a:rect l="0" t="0" r="0" b="0"/>
          <a:pathLst>
            <a:path>
              <a:moveTo>
                <a:pt x="361497" y="1607134"/>
              </a:moveTo>
              <a:arcTo wR="890694" hR="890694" stAng="7587080"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DDB31B5F-0D8C-BF4E-933E-B22D66FAE18A}">
      <dsp:nvSpPr>
        <dsp:cNvPr id="0" name=""/>
        <dsp:cNvSpPr/>
      </dsp:nvSpPr>
      <dsp:spPr>
        <a:xfrm>
          <a:off x="660570" y="891545"/>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Servicios públicos de calidad</a:t>
          </a:r>
        </a:p>
      </dsp:txBody>
      <dsp:txXfrm>
        <a:off x="686887" y="917862"/>
        <a:ext cx="776755" cy="486469"/>
      </dsp:txXfrm>
    </dsp:sp>
    <dsp:sp modelId="{26FFC350-A0B6-3945-9AB5-9AB9FD81E039}">
      <dsp:nvSpPr>
        <dsp:cNvPr id="0" name=""/>
        <dsp:cNvSpPr/>
      </dsp:nvSpPr>
      <dsp:spPr>
        <a:xfrm>
          <a:off x="1075265" y="270403"/>
          <a:ext cx="1781388" cy="1781388"/>
        </a:xfrm>
        <a:custGeom>
          <a:avLst/>
          <a:gdLst/>
          <a:ahLst/>
          <a:cxnLst/>
          <a:rect l="0" t="0" r="0" b="0"/>
          <a:pathLst>
            <a:path>
              <a:moveTo>
                <a:pt x="92328" y="495790"/>
              </a:moveTo>
              <a:arcTo wR="890694" hR="890694" stAng="12379132"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2FCDC9-1D72-5043-BD9D-8879B02FBD13}">
      <dsp:nvSpPr>
        <dsp:cNvPr id="0" name=""/>
        <dsp:cNvSpPr/>
      </dsp:nvSpPr>
      <dsp:spPr>
        <a:xfrm>
          <a:off x="1915388" y="913"/>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Fomento y desarrollo empresarial</a:t>
          </a:r>
        </a:p>
      </dsp:txBody>
      <dsp:txXfrm>
        <a:off x="1941050" y="26575"/>
        <a:ext cx="757420" cy="474360"/>
      </dsp:txXfrm>
    </dsp:sp>
    <dsp:sp modelId="{48D55A32-54CB-FA4D-BAC2-7D9390CFDB56}">
      <dsp:nvSpPr>
        <dsp:cNvPr id="0" name=""/>
        <dsp:cNvSpPr/>
      </dsp:nvSpPr>
      <dsp:spPr>
        <a:xfrm>
          <a:off x="1452052" y="263755"/>
          <a:ext cx="1735416" cy="1735416"/>
        </a:xfrm>
        <a:custGeom>
          <a:avLst/>
          <a:gdLst/>
          <a:ahLst/>
          <a:cxnLst/>
          <a:rect l="0" t="0" r="0" b="0"/>
          <a:pathLst>
            <a:path>
              <a:moveTo>
                <a:pt x="1383491" y="169936"/>
              </a:moveTo>
              <a:arcTo wR="867708" hR="867708" stAng="18388275"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A9992CF-046B-3B47-97EE-57B76AD3821B}">
      <dsp:nvSpPr>
        <dsp:cNvPr id="0" name=""/>
        <dsp:cNvSpPr/>
      </dsp:nvSpPr>
      <dsp:spPr>
        <a:xfrm>
          <a:off x="2783096" y="868621"/>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Inversión</a:t>
          </a:r>
        </a:p>
      </dsp:txBody>
      <dsp:txXfrm>
        <a:off x="2808758" y="894283"/>
        <a:ext cx="757420" cy="474360"/>
      </dsp:txXfrm>
    </dsp:sp>
    <dsp:sp modelId="{D4EFCD9F-F2FE-3047-A1F1-1733F8EBC9C2}">
      <dsp:nvSpPr>
        <dsp:cNvPr id="0" name=""/>
        <dsp:cNvSpPr/>
      </dsp:nvSpPr>
      <dsp:spPr>
        <a:xfrm>
          <a:off x="1452052" y="263755"/>
          <a:ext cx="1735416" cy="1735416"/>
        </a:xfrm>
        <a:custGeom>
          <a:avLst/>
          <a:gdLst/>
          <a:ahLst/>
          <a:cxnLst/>
          <a:rect l="0" t="0" r="0" b="0"/>
          <a:pathLst>
            <a:path>
              <a:moveTo>
                <a:pt x="1645412" y="1252539"/>
              </a:moveTo>
              <a:arcTo wR="867708" hR="867708" stAng="1579654"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41026D03-FE6B-2945-89E0-5DF842676E85}">
      <dsp:nvSpPr>
        <dsp:cNvPr id="0" name=""/>
        <dsp:cNvSpPr/>
      </dsp:nvSpPr>
      <dsp:spPr>
        <a:xfrm>
          <a:off x="1915388" y="1736330"/>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Turismo</a:t>
          </a:r>
        </a:p>
      </dsp:txBody>
      <dsp:txXfrm>
        <a:off x="1941050" y="1761992"/>
        <a:ext cx="757420" cy="474360"/>
      </dsp:txXfrm>
    </dsp:sp>
    <dsp:sp modelId="{CC0BA1D7-A919-A74A-A8BD-2A04A5C1E5B0}">
      <dsp:nvSpPr>
        <dsp:cNvPr id="0" name=""/>
        <dsp:cNvSpPr/>
      </dsp:nvSpPr>
      <dsp:spPr>
        <a:xfrm>
          <a:off x="1452052" y="263755"/>
          <a:ext cx="1735416" cy="1735416"/>
        </a:xfrm>
        <a:custGeom>
          <a:avLst/>
          <a:gdLst/>
          <a:ahLst/>
          <a:cxnLst/>
          <a:rect l="0" t="0" r="0" b="0"/>
          <a:pathLst>
            <a:path>
              <a:moveTo>
                <a:pt x="351925" y="1565480"/>
              </a:moveTo>
              <a:arcTo wR="867708" hR="867708" stAng="7588275"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4560A6C3-39BC-D348-B57D-FD49BB9D7A7B}">
      <dsp:nvSpPr>
        <dsp:cNvPr id="0" name=""/>
        <dsp:cNvSpPr/>
      </dsp:nvSpPr>
      <dsp:spPr>
        <a:xfrm>
          <a:off x="1047680" y="868621"/>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Empleo incluyente</a:t>
          </a:r>
        </a:p>
      </dsp:txBody>
      <dsp:txXfrm>
        <a:off x="1073342" y="894283"/>
        <a:ext cx="757420" cy="474360"/>
      </dsp:txXfrm>
    </dsp:sp>
    <dsp:sp modelId="{EEECE471-0B25-9744-AA1C-4AC2C9F588E9}">
      <dsp:nvSpPr>
        <dsp:cNvPr id="0" name=""/>
        <dsp:cNvSpPr/>
      </dsp:nvSpPr>
      <dsp:spPr>
        <a:xfrm>
          <a:off x="1452052" y="263755"/>
          <a:ext cx="1735416" cy="1735416"/>
        </a:xfrm>
        <a:custGeom>
          <a:avLst/>
          <a:gdLst/>
          <a:ahLst/>
          <a:cxnLst/>
          <a:rect l="0" t="0" r="0" b="0"/>
          <a:pathLst>
            <a:path>
              <a:moveTo>
                <a:pt x="90004" y="482877"/>
              </a:moveTo>
              <a:arcTo wR="867708" hR="867708" stAng="12379654"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0.14736</cdr:x>
      <cdr:y>0.35117</cdr:y>
    </cdr:from>
    <cdr:to>
      <cdr:x>0.95847</cdr:x>
      <cdr:y>0.35117</cdr:y>
    </cdr:to>
    <cdr:cxnSp macro="">
      <cdr:nvCxnSpPr>
        <cdr:cNvPr id="3" name="Conector recto 2"/>
        <cdr:cNvCxnSpPr/>
      </cdr:nvCxnSpPr>
      <cdr:spPr>
        <a:xfrm xmlns:a="http://schemas.openxmlformats.org/drawingml/2006/main" flipH="1">
          <a:off x="826978" y="1378318"/>
          <a:ext cx="4552055" cy="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02C70-E320-4F66-8EF2-4482057B4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17104</Words>
  <Characters>94072</Characters>
  <Application>Microsoft Office Word</Application>
  <DocSecurity>0</DocSecurity>
  <Lines>783</Lines>
  <Paragraphs>221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 Banda Aguirre</dc:creator>
  <cp:lastModifiedBy>Óscar Efraín Herrera Arizpe</cp:lastModifiedBy>
  <cp:revision>2</cp:revision>
  <cp:lastPrinted>2016-01-26T16:22:00Z</cp:lastPrinted>
  <dcterms:created xsi:type="dcterms:W3CDTF">2016-01-29T19:36:00Z</dcterms:created>
  <dcterms:modified xsi:type="dcterms:W3CDTF">2016-01-29T19:36:00Z</dcterms:modified>
</cp:coreProperties>
</file>